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DFA99" w14:textId="5639A822" w:rsidR="00054D63" w:rsidRPr="00795B97" w:rsidRDefault="00054D63" w:rsidP="00795B97">
      <w:pPr>
        <w:spacing w:before="120" w:after="120"/>
        <w:ind w:left="4253"/>
        <w:jc w:val="both"/>
        <w:rPr>
          <w:rFonts w:ascii="Arial" w:hAnsi="Arial" w:cs="Arial"/>
          <w:b/>
          <w:sz w:val="24"/>
          <w:szCs w:val="24"/>
        </w:rPr>
      </w:pPr>
      <w:r w:rsidRPr="00795B97">
        <w:rPr>
          <w:rFonts w:ascii="Arial" w:hAnsi="Arial" w:cs="Arial"/>
          <w:b/>
          <w:sz w:val="24"/>
          <w:szCs w:val="24"/>
        </w:rPr>
        <w:t>JUICIO PARA LA PROTECCIÓN DE LOS DERECHOS POLÍTICO-ELECTORALES DE</w:t>
      </w:r>
      <w:r w:rsidR="0033783A">
        <w:rPr>
          <w:rFonts w:ascii="Arial" w:hAnsi="Arial" w:cs="Arial"/>
          <w:b/>
          <w:sz w:val="24"/>
          <w:szCs w:val="24"/>
        </w:rPr>
        <w:t xml:space="preserve"> </w:t>
      </w:r>
      <w:r w:rsidRPr="00795B97">
        <w:rPr>
          <w:rFonts w:ascii="Arial" w:hAnsi="Arial" w:cs="Arial"/>
          <w:b/>
          <w:sz w:val="24"/>
          <w:szCs w:val="24"/>
        </w:rPr>
        <w:t>L</w:t>
      </w:r>
      <w:r w:rsidR="0033783A">
        <w:rPr>
          <w:rFonts w:ascii="Arial" w:hAnsi="Arial" w:cs="Arial"/>
          <w:b/>
          <w:sz w:val="24"/>
          <w:szCs w:val="24"/>
        </w:rPr>
        <w:t>A</w:t>
      </w:r>
      <w:r w:rsidRPr="00795B97">
        <w:rPr>
          <w:rFonts w:ascii="Arial" w:hAnsi="Arial" w:cs="Arial"/>
          <w:b/>
          <w:sz w:val="24"/>
          <w:szCs w:val="24"/>
        </w:rPr>
        <w:t xml:space="preserve"> CIUDADAN</w:t>
      </w:r>
      <w:r w:rsidR="0033783A">
        <w:rPr>
          <w:rFonts w:ascii="Arial" w:hAnsi="Arial" w:cs="Arial"/>
          <w:b/>
          <w:sz w:val="24"/>
          <w:szCs w:val="24"/>
        </w:rPr>
        <w:t>ÍA.</w:t>
      </w:r>
    </w:p>
    <w:p w14:paraId="3A439A65" w14:textId="67C47D15" w:rsidR="00054D63" w:rsidRPr="00795B97" w:rsidRDefault="00054D63" w:rsidP="00795B97">
      <w:pPr>
        <w:spacing w:before="120" w:after="120"/>
        <w:ind w:left="4253"/>
        <w:jc w:val="both"/>
        <w:rPr>
          <w:rFonts w:ascii="Arial" w:hAnsi="Arial" w:cs="Arial"/>
          <w:sz w:val="24"/>
          <w:szCs w:val="24"/>
        </w:rPr>
      </w:pPr>
      <w:r w:rsidRPr="00795B97">
        <w:rPr>
          <w:rFonts w:ascii="Arial" w:hAnsi="Arial" w:cs="Arial"/>
          <w:b/>
          <w:sz w:val="24"/>
          <w:szCs w:val="24"/>
        </w:rPr>
        <w:t>EXPEDIENTE:</w:t>
      </w:r>
      <w:r w:rsidRPr="00795B97">
        <w:rPr>
          <w:rFonts w:ascii="Arial" w:hAnsi="Arial" w:cs="Arial"/>
          <w:sz w:val="24"/>
          <w:szCs w:val="24"/>
        </w:rPr>
        <w:t xml:space="preserve"> TEEA-JDC-01</w:t>
      </w:r>
      <w:r w:rsidR="00342E23" w:rsidRPr="00795B97">
        <w:rPr>
          <w:rFonts w:ascii="Arial" w:hAnsi="Arial" w:cs="Arial"/>
          <w:sz w:val="24"/>
          <w:szCs w:val="24"/>
        </w:rPr>
        <w:t>6</w:t>
      </w:r>
      <w:r w:rsidRPr="00795B97">
        <w:rPr>
          <w:rFonts w:ascii="Arial" w:hAnsi="Arial" w:cs="Arial"/>
          <w:sz w:val="24"/>
          <w:szCs w:val="24"/>
        </w:rPr>
        <w:t>/2021</w:t>
      </w:r>
      <w:r w:rsidR="00342E23" w:rsidRPr="00795B97">
        <w:rPr>
          <w:rFonts w:ascii="Arial" w:hAnsi="Arial" w:cs="Arial"/>
          <w:sz w:val="24"/>
          <w:szCs w:val="24"/>
        </w:rPr>
        <w:t xml:space="preserve"> Y ACUMULADO.</w:t>
      </w:r>
    </w:p>
    <w:p w14:paraId="4E86F439" w14:textId="65EB6DDB" w:rsidR="00054D63" w:rsidRPr="00795B97" w:rsidRDefault="00675FAF" w:rsidP="00795B97">
      <w:pPr>
        <w:spacing w:before="120" w:after="120"/>
        <w:ind w:left="4253"/>
        <w:jc w:val="both"/>
        <w:rPr>
          <w:rFonts w:ascii="Arial" w:hAnsi="Arial" w:cs="Arial"/>
          <w:sz w:val="24"/>
          <w:szCs w:val="24"/>
        </w:rPr>
      </w:pPr>
      <w:bookmarkStart w:id="0" w:name="_Hlk20245868"/>
      <w:r>
        <w:rPr>
          <w:rFonts w:ascii="Arial" w:hAnsi="Arial" w:cs="Arial"/>
          <w:b/>
          <w:sz w:val="24"/>
          <w:szCs w:val="24"/>
        </w:rPr>
        <w:t>PARTE ACTORA</w:t>
      </w:r>
      <w:r w:rsidR="00054D63" w:rsidRPr="00795B97">
        <w:rPr>
          <w:rFonts w:ascii="Arial" w:hAnsi="Arial" w:cs="Arial"/>
          <w:b/>
          <w:sz w:val="24"/>
          <w:szCs w:val="24"/>
        </w:rPr>
        <w:t>:</w:t>
      </w:r>
      <w:bookmarkStart w:id="1" w:name="_Hlk20245907"/>
      <w:r w:rsidR="00054D63" w:rsidRPr="00795B97">
        <w:rPr>
          <w:rFonts w:ascii="Arial" w:hAnsi="Arial" w:cs="Arial"/>
          <w:sz w:val="24"/>
          <w:szCs w:val="24"/>
        </w:rPr>
        <w:t xml:space="preserve"> </w:t>
      </w:r>
      <w:r w:rsidR="003D0428" w:rsidRPr="00795B97">
        <w:rPr>
          <w:rFonts w:ascii="Arial" w:hAnsi="Arial" w:cs="Arial"/>
          <w:sz w:val="24"/>
          <w:szCs w:val="24"/>
        </w:rPr>
        <w:t>SALMA LUÉVANO LUNA</w:t>
      </w:r>
      <w:r w:rsidR="00342E23" w:rsidRPr="00795B97">
        <w:rPr>
          <w:rFonts w:ascii="Arial" w:hAnsi="Arial" w:cs="Arial"/>
          <w:sz w:val="24"/>
          <w:szCs w:val="24"/>
        </w:rPr>
        <w:t xml:space="preserve"> Y </w:t>
      </w:r>
      <w:r w:rsidR="001F17C5">
        <w:rPr>
          <w:rFonts w:ascii="Arial" w:hAnsi="Arial" w:cs="Arial"/>
          <w:sz w:val="24"/>
          <w:szCs w:val="24"/>
        </w:rPr>
        <w:t>OTRO.</w:t>
      </w:r>
    </w:p>
    <w:bookmarkEnd w:id="1"/>
    <w:p w14:paraId="2A541F40" w14:textId="77777777" w:rsidR="00054D63" w:rsidRPr="00795B97" w:rsidRDefault="00054D63" w:rsidP="00795B97">
      <w:pPr>
        <w:spacing w:before="120" w:after="120"/>
        <w:ind w:left="4253"/>
        <w:jc w:val="both"/>
        <w:rPr>
          <w:rFonts w:ascii="Arial" w:hAnsi="Arial" w:cs="Arial"/>
          <w:sz w:val="24"/>
          <w:szCs w:val="24"/>
        </w:rPr>
      </w:pPr>
      <w:r w:rsidRPr="00795B97">
        <w:rPr>
          <w:rFonts w:ascii="Arial" w:hAnsi="Arial" w:cs="Arial"/>
          <w:b/>
          <w:sz w:val="24"/>
          <w:szCs w:val="24"/>
        </w:rPr>
        <w:t xml:space="preserve">RESPONSABLE: </w:t>
      </w:r>
      <w:r w:rsidRPr="00795B97">
        <w:rPr>
          <w:rFonts w:ascii="Arial" w:hAnsi="Arial" w:cs="Arial"/>
          <w:bCs/>
          <w:sz w:val="24"/>
          <w:szCs w:val="24"/>
        </w:rPr>
        <w:t>CONSEJO GENERAL DEL I</w:t>
      </w:r>
      <w:r w:rsidRPr="00795B97">
        <w:rPr>
          <w:rFonts w:ascii="Arial" w:hAnsi="Arial" w:cs="Arial"/>
          <w:sz w:val="24"/>
          <w:szCs w:val="24"/>
        </w:rPr>
        <w:t>NSTITUTO ESTATAL ELECTORAL.</w:t>
      </w:r>
    </w:p>
    <w:bookmarkEnd w:id="0"/>
    <w:p w14:paraId="783FAD58" w14:textId="77777777" w:rsidR="00054D63" w:rsidRPr="00795B97" w:rsidRDefault="00054D63" w:rsidP="00795B97">
      <w:pPr>
        <w:spacing w:before="120" w:after="120"/>
        <w:ind w:left="4253"/>
        <w:jc w:val="both"/>
        <w:rPr>
          <w:rFonts w:ascii="Arial" w:hAnsi="Arial" w:cs="Arial"/>
          <w:sz w:val="24"/>
          <w:szCs w:val="24"/>
        </w:rPr>
      </w:pPr>
      <w:r w:rsidRPr="00795B97">
        <w:rPr>
          <w:rFonts w:ascii="Arial" w:hAnsi="Arial" w:cs="Arial"/>
          <w:b/>
          <w:sz w:val="24"/>
          <w:szCs w:val="24"/>
        </w:rPr>
        <w:t>MAGISTRADA PONENTE:</w:t>
      </w:r>
      <w:r w:rsidRPr="00795B97">
        <w:rPr>
          <w:rFonts w:ascii="Arial" w:hAnsi="Arial" w:cs="Arial"/>
          <w:sz w:val="24"/>
          <w:szCs w:val="24"/>
        </w:rPr>
        <w:t xml:space="preserve"> LAURA HORTENSIA LLAMAS HERNÁNDEZ.</w:t>
      </w:r>
    </w:p>
    <w:p w14:paraId="3DE9F3AB" w14:textId="165A0BC2" w:rsidR="00054D63" w:rsidRPr="00795B97" w:rsidRDefault="00054D63" w:rsidP="00795B97">
      <w:pPr>
        <w:spacing w:before="120" w:after="120"/>
        <w:ind w:left="4253"/>
        <w:jc w:val="both"/>
        <w:rPr>
          <w:rFonts w:ascii="Arial" w:hAnsi="Arial" w:cs="Arial"/>
          <w:sz w:val="24"/>
          <w:szCs w:val="24"/>
        </w:rPr>
      </w:pPr>
      <w:r w:rsidRPr="00795B97">
        <w:rPr>
          <w:rFonts w:ascii="Arial" w:hAnsi="Arial" w:cs="Arial"/>
          <w:b/>
          <w:sz w:val="24"/>
          <w:szCs w:val="24"/>
        </w:rPr>
        <w:t>SECRETARIO</w:t>
      </w:r>
      <w:r w:rsidR="00342E23" w:rsidRPr="00795B97">
        <w:rPr>
          <w:rFonts w:ascii="Arial" w:hAnsi="Arial" w:cs="Arial"/>
          <w:b/>
          <w:sz w:val="24"/>
          <w:szCs w:val="24"/>
        </w:rPr>
        <w:t xml:space="preserve"> DE ESTUDIO</w:t>
      </w:r>
      <w:r w:rsidR="00342E23" w:rsidRPr="00795B97">
        <w:rPr>
          <w:rStyle w:val="Refdenotaalpie"/>
          <w:rFonts w:ascii="Arial" w:hAnsi="Arial" w:cs="Arial"/>
          <w:b/>
          <w:sz w:val="24"/>
          <w:szCs w:val="24"/>
        </w:rPr>
        <w:footnoteReference w:id="1"/>
      </w:r>
      <w:r w:rsidRPr="00795B97">
        <w:rPr>
          <w:rFonts w:ascii="Arial" w:hAnsi="Arial" w:cs="Arial"/>
          <w:b/>
          <w:sz w:val="24"/>
          <w:szCs w:val="24"/>
        </w:rPr>
        <w:t xml:space="preserve">: </w:t>
      </w:r>
      <w:r w:rsidRPr="00795B97">
        <w:rPr>
          <w:rFonts w:ascii="Arial" w:hAnsi="Arial" w:cs="Arial"/>
          <w:bCs/>
          <w:sz w:val="24"/>
          <w:szCs w:val="24"/>
        </w:rPr>
        <w:t>EDGAR ALEJANDRO LÓPEZ DÁVILA.</w:t>
      </w:r>
    </w:p>
    <w:p w14:paraId="5335B3C6" w14:textId="77777777" w:rsidR="00054D63" w:rsidRPr="00795B97" w:rsidRDefault="00054D63" w:rsidP="00795B97">
      <w:pPr>
        <w:jc w:val="both"/>
        <w:rPr>
          <w:rFonts w:ascii="Arial" w:hAnsi="Arial" w:cs="Arial"/>
          <w:sz w:val="24"/>
          <w:szCs w:val="24"/>
        </w:rPr>
      </w:pPr>
    </w:p>
    <w:p w14:paraId="4E3E85CD" w14:textId="5ED0A876" w:rsidR="00054D63" w:rsidRPr="00795B97" w:rsidRDefault="00054D63" w:rsidP="00675FAF">
      <w:pPr>
        <w:spacing w:line="360" w:lineRule="auto"/>
        <w:jc w:val="right"/>
        <w:rPr>
          <w:rFonts w:ascii="Arial" w:hAnsi="Arial" w:cs="Arial"/>
          <w:sz w:val="24"/>
          <w:szCs w:val="24"/>
        </w:rPr>
      </w:pPr>
      <w:r w:rsidRPr="00795B97">
        <w:rPr>
          <w:rFonts w:ascii="Arial" w:hAnsi="Arial" w:cs="Arial"/>
          <w:sz w:val="24"/>
          <w:szCs w:val="24"/>
        </w:rPr>
        <w:t xml:space="preserve">Aguascalientes, Aguascalientes, a </w:t>
      </w:r>
      <w:r w:rsidR="00675FAF" w:rsidRPr="002F2EED">
        <w:rPr>
          <w:rFonts w:ascii="Arial" w:hAnsi="Arial" w:cs="Arial"/>
          <w:sz w:val="24"/>
          <w:szCs w:val="24"/>
        </w:rPr>
        <w:t>11</w:t>
      </w:r>
      <w:r w:rsidRPr="00795B97">
        <w:rPr>
          <w:rFonts w:ascii="Arial" w:hAnsi="Arial" w:cs="Arial"/>
          <w:sz w:val="24"/>
          <w:szCs w:val="24"/>
        </w:rPr>
        <w:t xml:space="preserve"> de </w:t>
      </w:r>
      <w:r w:rsidR="003D0428" w:rsidRPr="00795B97">
        <w:rPr>
          <w:rFonts w:ascii="Arial" w:hAnsi="Arial" w:cs="Arial"/>
          <w:sz w:val="24"/>
          <w:szCs w:val="24"/>
        </w:rPr>
        <w:t>marzo</w:t>
      </w:r>
      <w:r w:rsidRPr="00795B97">
        <w:rPr>
          <w:rFonts w:ascii="Arial" w:hAnsi="Arial" w:cs="Arial"/>
          <w:sz w:val="24"/>
          <w:szCs w:val="24"/>
        </w:rPr>
        <w:t xml:space="preserve"> de </w:t>
      </w:r>
      <w:r w:rsidR="00675FAF">
        <w:rPr>
          <w:rFonts w:ascii="Arial" w:hAnsi="Arial" w:cs="Arial"/>
          <w:sz w:val="24"/>
          <w:szCs w:val="24"/>
        </w:rPr>
        <w:t>2021</w:t>
      </w:r>
      <w:r w:rsidRPr="00795B97">
        <w:rPr>
          <w:rFonts w:ascii="Arial" w:hAnsi="Arial" w:cs="Arial"/>
          <w:sz w:val="24"/>
          <w:szCs w:val="24"/>
        </w:rPr>
        <w:t>.</w:t>
      </w:r>
    </w:p>
    <w:p w14:paraId="4F9FDF44" w14:textId="77777777" w:rsidR="00054D63" w:rsidRPr="00795B97" w:rsidRDefault="00054D63" w:rsidP="00795B97">
      <w:pPr>
        <w:jc w:val="both"/>
        <w:rPr>
          <w:rFonts w:ascii="Arial" w:hAnsi="Arial" w:cs="Arial"/>
          <w:b/>
          <w:sz w:val="24"/>
          <w:szCs w:val="24"/>
        </w:rPr>
      </w:pPr>
    </w:p>
    <w:p w14:paraId="55B885CF" w14:textId="344566FB" w:rsidR="00125B30" w:rsidRPr="00125B30" w:rsidRDefault="00054D63" w:rsidP="00257B1C">
      <w:pPr>
        <w:spacing w:line="360" w:lineRule="auto"/>
        <w:jc w:val="both"/>
        <w:rPr>
          <w:rFonts w:ascii="Arial" w:hAnsi="Arial" w:cs="Arial"/>
          <w:sz w:val="24"/>
          <w:szCs w:val="24"/>
        </w:rPr>
      </w:pPr>
      <w:r w:rsidRPr="00795B97">
        <w:rPr>
          <w:rFonts w:ascii="Arial" w:hAnsi="Arial" w:cs="Arial"/>
          <w:b/>
          <w:sz w:val="24"/>
          <w:szCs w:val="24"/>
        </w:rPr>
        <w:t>Sentencia</w:t>
      </w:r>
      <w:r w:rsidRPr="00795B97">
        <w:rPr>
          <w:rFonts w:ascii="Arial" w:hAnsi="Arial" w:cs="Arial"/>
          <w:sz w:val="24"/>
          <w:szCs w:val="24"/>
        </w:rPr>
        <w:t xml:space="preserve"> que </w:t>
      </w:r>
      <w:r w:rsidR="00675FAF" w:rsidRPr="00675FAF">
        <w:rPr>
          <w:rFonts w:ascii="Arial" w:hAnsi="Arial" w:cs="Arial"/>
          <w:b/>
          <w:bCs/>
          <w:sz w:val="24"/>
          <w:szCs w:val="24"/>
        </w:rPr>
        <w:t>confirma</w:t>
      </w:r>
      <w:r w:rsidRPr="00795B97">
        <w:rPr>
          <w:rFonts w:ascii="Arial" w:hAnsi="Arial" w:cs="Arial"/>
          <w:sz w:val="24"/>
          <w:szCs w:val="24"/>
        </w:rPr>
        <w:t xml:space="preserve"> el </w:t>
      </w:r>
      <w:r w:rsidR="00342E23" w:rsidRPr="00795B97">
        <w:rPr>
          <w:rFonts w:ascii="Arial" w:hAnsi="Arial" w:cs="Arial"/>
          <w:sz w:val="24"/>
          <w:szCs w:val="24"/>
        </w:rPr>
        <w:t>acuerdo (CG-</w:t>
      </w:r>
      <w:r w:rsidR="003D61AA">
        <w:rPr>
          <w:rFonts w:ascii="Arial" w:hAnsi="Arial" w:cs="Arial"/>
          <w:sz w:val="24"/>
          <w:szCs w:val="24"/>
        </w:rPr>
        <w:t xml:space="preserve">A-26/2021) del Instituto local, que estableció </w:t>
      </w:r>
      <w:r w:rsidR="00342E23" w:rsidRPr="00795B97">
        <w:rPr>
          <w:rFonts w:ascii="Arial" w:hAnsi="Arial" w:cs="Arial"/>
          <w:sz w:val="24"/>
          <w:szCs w:val="24"/>
        </w:rPr>
        <w:t xml:space="preserve">los lineamientos </w:t>
      </w:r>
      <w:r w:rsidR="003D61AA">
        <w:rPr>
          <w:rFonts w:ascii="Arial" w:hAnsi="Arial" w:cs="Arial"/>
          <w:sz w:val="24"/>
          <w:szCs w:val="24"/>
        </w:rPr>
        <w:t xml:space="preserve">de </w:t>
      </w:r>
      <w:r w:rsidR="00342E23" w:rsidRPr="00795B97">
        <w:rPr>
          <w:rFonts w:ascii="Arial" w:hAnsi="Arial" w:cs="Arial"/>
          <w:sz w:val="24"/>
          <w:szCs w:val="24"/>
        </w:rPr>
        <w:t>las cuotas en favor de las personas que integran la comunidad LGBTI</w:t>
      </w:r>
      <w:r w:rsidR="0033783A">
        <w:rPr>
          <w:rFonts w:ascii="Arial" w:hAnsi="Arial" w:cs="Arial"/>
          <w:sz w:val="24"/>
          <w:szCs w:val="24"/>
        </w:rPr>
        <w:t>Q</w:t>
      </w:r>
      <w:r w:rsidR="00342E23" w:rsidRPr="00795B97">
        <w:rPr>
          <w:rFonts w:ascii="Arial" w:hAnsi="Arial" w:cs="Arial"/>
          <w:sz w:val="24"/>
          <w:szCs w:val="24"/>
        </w:rPr>
        <w:t xml:space="preserve">+ y </w:t>
      </w:r>
      <w:r w:rsidR="003D61AA">
        <w:rPr>
          <w:rFonts w:ascii="Arial" w:hAnsi="Arial" w:cs="Arial"/>
          <w:sz w:val="24"/>
          <w:szCs w:val="24"/>
        </w:rPr>
        <w:t xml:space="preserve">con </w:t>
      </w:r>
      <w:r w:rsidR="00342E23" w:rsidRPr="00795B97">
        <w:rPr>
          <w:rFonts w:ascii="Arial" w:hAnsi="Arial" w:cs="Arial"/>
          <w:sz w:val="24"/>
          <w:szCs w:val="24"/>
        </w:rPr>
        <w:t xml:space="preserve">alguna discapacidad, para el proceso electoral </w:t>
      </w:r>
      <w:r w:rsidR="003D61AA">
        <w:rPr>
          <w:rFonts w:ascii="Arial" w:hAnsi="Arial" w:cs="Arial"/>
          <w:sz w:val="24"/>
          <w:szCs w:val="24"/>
        </w:rPr>
        <w:t>2020-2021</w:t>
      </w:r>
      <w:r w:rsidR="00875705">
        <w:rPr>
          <w:rFonts w:ascii="Arial" w:hAnsi="Arial" w:cs="Arial"/>
          <w:sz w:val="24"/>
          <w:szCs w:val="24"/>
        </w:rPr>
        <w:t xml:space="preserve">. </w:t>
      </w:r>
    </w:p>
    <w:p w14:paraId="4B05C097" w14:textId="77777777" w:rsidR="00054D63" w:rsidRPr="00795B97" w:rsidRDefault="00054D63" w:rsidP="00795B97">
      <w:pPr>
        <w:pStyle w:val="Sinespaciado"/>
        <w:rPr>
          <w:rFonts w:ascii="Arial" w:hAnsi="Arial" w:cs="Arial"/>
          <w:sz w:val="24"/>
          <w:szCs w:val="24"/>
        </w:rPr>
      </w:pPr>
    </w:p>
    <w:sdt>
      <w:sdtPr>
        <w:rPr>
          <w:rFonts w:ascii="Arial" w:eastAsia="Calibri" w:hAnsi="Arial" w:cs="Arial"/>
          <w:color w:val="auto"/>
          <w:sz w:val="24"/>
          <w:szCs w:val="24"/>
          <w:lang w:val="es-ES" w:eastAsia="en-US"/>
        </w:rPr>
        <w:id w:val="572401020"/>
        <w:docPartObj>
          <w:docPartGallery w:val="Table of Contents"/>
          <w:docPartUnique/>
        </w:docPartObj>
      </w:sdtPr>
      <w:sdtEndPr>
        <w:rPr>
          <w:rFonts w:eastAsia="Times New Roman"/>
          <w:b/>
          <w:bCs/>
        </w:rPr>
      </w:sdtEndPr>
      <w:sdtContent>
        <w:p w14:paraId="36BA4137" w14:textId="367481E1" w:rsidR="00054D63" w:rsidRPr="00795B97" w:rsidRDefault="002E2443" w:rsidP="00795B97">
          <w:pPr>
            <w:pStyle w:val="TtuloTDC"/>
            <w:spacing w:before="0" w:line="240" w:lineRule="auto"/>
            <w:ind w:left="709" w:right="899"/>
            <w:contextualSpacing/>
            <w:jc w:val="center"/>
            <w:rPr>
              <w:rFonts w:ascii="Arial" w:hAnsi="Arial" w:cs="Arial"/>
              <w:b/>
              <w:color w:val="000000" w:themeColor="text1"/>
              <w:sz w:val="18"/>
              <w:szCs w:val="18"/>
              <w:lang w:val="es-ES"/>
            </w:rPr>
          </w:pPr>
          <w:r>
            <w:rPr>
              <w:rFonts w:ascii="Arial" w:hAnsi="Arial" w:cs="Arial"/>
              <w:b/>
              <w:color w:val="000000" w:themeColor="text1"/>
              <w:sz w:val="18"/>
              <w:szCs w:val="18"/>
              <w:lang w:val="es-ES"/>
            </w:rPr>
            <w:t>Í</w:t>
          </w:r>
          <w:r w:rsidRPr="00795B97">
            <w:rPr>
              <w:rFonts w:ascii="Arial" w:hAnsi="Arial" w:cs="Arial"/>
              <w:b/>
              <w:color w:val="000000" w:themeColor="text1"/>
              <w:sz w:val="18"/>
              <w:szCs w:val="18"/>
              <w:lang w:val="es-ES"/>
            </w:rPr>
            <w:t>ndice</w:t>
          </w:r>
        </w:p>
        <w:p w14:paraId="2264A516" w14:textId="77777777" w:rsidR="00054D63" w:rsidRPr="00795B97" w:rsidRDefault="00054D63" w:rsidP="00795B97">
          <w:pPr>
            <w:ind w:left="709" w:right="899"/>
            <w:contextualSpacing/>
            <w:jc w:val="both"/>
            <w:rPr>
              <w:rFonts w:ascii="Arial" w:hAnsi="Arial" w:cs="Arial"/>
              <w:sz w:val="18"/>
              <w:szCs w:val="18"/>
              <w:lang w:val="es-ES" w:eastAsia="es-MX"/>
            </w:rPr>
          </w:pPr>
        </w:p>
        <w:p w14:paraId="0A1E091F" w14:textId="5AD35F09" w:rsidR="00054D63" w:rsidRPr="00795B97" w:rsidRDefault="00054D63" w:rsidP="00795B97">
          <w:pPr>
            <w:pStyle w:val="TDC1"/>
            <w:spacing w:line="240" w:lineRule="auto"/>
            <w:ind w:left="709" w:right="899"/>
            <w:rPr>
              <w:rFonts w:eastAsiaTheme="minorEastAsia"/>
              <w:b w:val="0"/>
              <w:bCs w:val="0"/>
              <w:lang w:eastAsia="es-MX"/>
            </w:rPr>
          </w:pPr>
          <w:r w:rsidRPr="00795B97">
            <w:fldChar w:fldCharType="begin"/>
          </w:r>
          <w:r w:rsidRPr="00795B97">
            <w:instrText xml:space="preserve"> TOC \o "1-4" \h \z \u </w:instrText>
          </w:r>
          <w:r w:rsidRPr="00795B97">
            <w:fldChar w:fldCharType="separate"/>
          </w:r>
          <w:hyperlink w:anchor="_Toc65238642" w:history="1">
            <w:r w:rsidR="002E2443" w:rsidRPr="00795B97">
              <w:rPr>
                <w:rStyle w:val="Hipervnculo"/>
              </w:rPr>
              <w:t>Glosario</w:t>
            </w:r>
            <w:r w:rsidRPr="00795B97">
              <w:rPr>
                <w:webHidden/>
              </w:rPr>
              <w:tab/>
            </w:r>
            <w:r w:rsidRPr="00795B97">
              <w:rPr>
                <w:webHidden/>
              </w:rPr>
              <w:fldChar w:fldCharType="begin"/>
            </w:r>
            <w:r w:rsidRPr="00795B97">
              <w:rPr>
                <w:webHidden/>
              </w:rPr>
              <w:instrText xml:space="preserve"> PAGEREF _Toc65238642 \h </w:instrText>
            </w:r>
            <w:r w:rsidRPr="00795B97">
              <w:rPr>
                <w:webHidden/>
              </w:rPr>
            </w:r>
            <w:r w:rsidRPr="00795B97">
              <w:rPr>
                <w:webHidden/>
              </w:rPr>
              <w:fldChar w:fldCharType="separate"/>
            </w:r>
            <w:r w:rsidR="00493E6A">
              <w:rPr>
                <w:webHidden/>
              </w:rPr>
              <w:t>1</w:t>
            </w:r>
            <w:r w:rsidRPr="00795B97">
              <w:rPr>
                <w:webHidden/>
              </w:rPr>
              <w:fldChar w:fldCharType="end"/>
            </w:r>
          </w:hyperlink>
        </w:p>
        <w:p w14:paraId="3D50B2B8" w14:textId="23D5BAB5" w:rsidR="00054D63" w:rsidRPr="00795B97" w:rsidRDefault="00151BCD" w:rsidP="00795B97">
          <w:pPr>
            <w:pStyle w:val="TDC1"/>
            <w:spacing w:line="240" w:lineRule="auto"/>
            <w:ind w:left="709" w:right="899"/>
            <w:rPr>
              <w:rFonts w:eastAsiaTheme="minorEastAsia"/>
              <w:b w:val="0"/>
              <w:bCs w:val="0"/>
              <w:lang w:eastAsia="es-MX"/>
            </w:rPr>
          </w:pPr>
          <w:hyperlink w:anchor="_Toc65238643" w:history="1">
            <w:r w:rsidR="002E2443" w:rsidRPr="00795B97">
              <w:rPr>
                <w:rStyle w:val="Hipervnculo"/>
              </w:rPr>
              <w:t>i.</w:t>
            </w:r>
            <w:r w:rsidR="002E2443">
              <w:rPr>
                <w:rStyle w:val="Hipervnculo"/>
              </w:rPr>
              <w:t>A</w:t>
            </w:r>
            <w:r w:rsidR="002E2443" w:rsidRPr="00795B97">
              <w:rPr>
                <w:rStyle w:val="Hipervnculo"/>
              </w:rPr>
              <w:t>ntecedentes del caso</w:t>
            </w:r>
            <w:r w:rsidR="00054D63" w:rsidRPr="00795B97">
              <w:rPr>
                <w:webHidden/>
              </w:rPr>
              <w:tab/>
            </w:r>
            <w:r w:rsidR="00054D63" w:rsidRPr="00795B97">
              <w:rPr>
                <w:webHidden/>
              </w:rPr>
              <w:fldChar w:fldCharType="begin"/>
            </w:r>
            <w:r w:rsidR="00054D63" w:rsidRPr="00795B97">
              <w:rPr>
                <w:webHidden/>
              </w:rPr>
              <w:instrText xml:space="preserve"> PAGEREF _Toc65238643 \h </w:instrText>
            </w:r>
            <w:r w:rsidR="00054D63" w:rsidRPr="00795B97">
              <w:rPr>
                <w:webHidden/>
              </w:rPr>
            </w:r>
            <w:r w:rsidR="00054D63" w:rsidRPr="00795B97">
              <w:rPr>
                <w:webHidden/>
              </w:rPr>
              <w:fldChar w:fldCharType="separate"/>
            </w:r>
            <w:r w:rsidR="00493E6A">
              <w:rPr>
                <w:webHidden/>
              </w:rPr>
              <w:t>2</w:t>
            </w:r>
            <w:r w:rsidR="00054D63" w:rsidRPr="00795B97">
              <w:rPr>
                <w:webHidden/>
              </w:rPr>
              <w:fldChar w:fldCharType="end"/>
            </w:r>
          </w:hyperlink>
        </w:p>
        <w:p w14:paraId="5BE5091F" w14:textId="7C18C6D1" w:rsidR="00054D63" w:rsidRPr="00795B97" w:rsidRDefault="00151BCD" w:rsidP="00795B97">
          <w:pPr>
            <w:pStyle w:val="TDC1"/>
            <w:spacing w:line="240" w:lineRule="auto"/>
            <w:ind w:left="709" w:right="899"/>
            <w:rPr>
              <w:rFonts w:eastAsiaTheme="minorEastAsia"/>
              <w:b w:val="0"/>
              <w:bCs w:val="0"/>
              <w:lang w:eastAsia="es-MX"/>
            </w:rPr>
          </w:pPr>
          <w:hyperlink w:anchor="_Toc65238644" w:history="1">
            <w:r w:rsidR="002E2443" w:rsidRPr="00795B97">
              <w:rPr>
                <w:rStyle w:val="Hipervnculo"/>
                <w:rFonts w:eastAsia="BatangChe"/>
              </w:rPr>
              <w:t>ii.</w:t>
            </w:r>
            <w:r w:rsidR="002E2443">
              <w:rPr>
                <w:rStyle w:val="Hipervnculo"/>
              </w:rPr>
              <w:t>C</w:t>
            </w:r>
            <w:r w:rsidR="002E2443" w:rsidRPr="00795B97">
              <w:rPr>
                <w:rStyle w:val="Hipervnculo"/>
              </w:rPr>
              <w:t>ompetencia</w:t>
            </w:r>
            <w:r w:rsidR="00054D63" w:rsidRPr="00795B97">
              <w:rPr>
                <w:webHidden/>
              </w:rPr>
              <w:tab/>
            </w:r>
            <w:r w:rsidR="00054D63" w:rsidRPr="00795B97">
              <w:rPr>
                <w:webHidden/>
              </w:rPr>
              <w:fldChar w:fldCharType="begin"/>
            </w:r>
            <w:r w:rsidR="00054D63" w:rsidRPr="00795B97">
              <w:rPr>
                <w:webHidden/>
              </w:rPr>
              <w:instrText xml:space="preserve"> PAGEREF _Toc65238644 \h </w:instrText>
            </w:r>
            <w:r w:rsidR="00054D63" w:rsidRPr="00795B97">
              <w:rPr>
                <w:webHidden/>
              </w:rPr>
            </w:r>
            <w:r w:rsidR="00054D63" w:rsidRPr="00795B97">
              <w:rPr>
                <w:webHidden/>
              </w:rPr>
              <w:fldChar w:fldCharType="separate"/>
            </w:r>
            <w:r w:rsidR="00493E6A">
              <w:rPr>
                <w:webHidden/>
              </w:rPr>
              <w:t>3</w:t>
            </w:r>
            <w:r w:rsidR="00054D63" w:rsidRPr="00795B97">
              <w:rPr>
                <w:webHidden/>
              </w:rPr>
              <w:fldChar w:fldCharType="end"/>
            </w:r>
          </w:hyperlink>
        </w:p>
        <w:p w14:paraId="7C9BC0A7" w14:textId="5AAB9CA8" w:rsidR="00054D63" w:rsidRPr="00795B97" w:rsidRDefault="00151BCD" w:rsidP="00795B97">
          <w:pPr>
            <w:pStyle w:val="TDC1"/>
            <w:spacing w:line="240" w:lineRule="auto"/>
            <w:ind w:left="709" w:right="899"/>
            <w:rPr>
              <w:rFonts w:eastAsiaTheme="minorEastAsia"/>
              <w:b w:val="0"/>
              <w:bCs w:val="0"/>
              <w:lang w:eastAsia="es-MX"/>
            </w:rPr>
          </w:pPr>
          <w:hyperlink w:anchor="_Toc65238645" w:history="1">
            <w:r w:rsidR="002E2443" w:rsidRPr="00795B97">
              <w:rPr>
                <w:rStyle w:val="Hipervnculo"/>
              </w:rPr>
              <w:t>iii.</w:t>
            </w:r>
            <w:r w:rsidR="002E2443">
              <w:rPr>
                <w:rStyle w:val="Hipervnculo"/>
              </w:rPr>
              <w:t>P</w:t>
            </w:r>
            <w:r w:rsidR="002E2443" w:rsidRPr="00795B97">
              <w:rPr>
                <w:rStyle w:val="Hipervnculo"/>
              </w:rPr>
              <w:t>rocedencia</w:t>
            </w:r>
            <w:r w:rsidR="00054D63" w:rsidRPr="00795B97">
              <w:rPr>
                <w:webHidden/>
              </w:rPr>
              <w:tab/>
            </w:r>
            <w:r w:rsidR="00054D63" w:rsidRPr="00795B97">
              <w:rPr>
                <w:webHidden/>
              </w:rPr>
              <w:fldChar w:fldCharType="begin"/>
            </w:r>
            <w:r w:rsidR="00054D63" w:rsidRPr="00795B97">
              <w:rPr>
                <w:webHidden/>
              </w:rPr>
              <w:instrText xml:space="preserve"> PAGEREF _Toc65238645 \h </w:instrText>
            </w:r>
            <w:r w:rsidR="00054D63" w:rsidRPr="00795B97">
              <w:rPr>
                <w:webHidden/>
              </w:rPr>
            </w:r>
            <w:r w:rsidR="00054D63" w:rsidRPr="00795B97">
              <w:rPr>
                <w:webHidden/>
              </w:rPr>
              <w:fldChar w:fldCharType="separate"/>
            </w:r>
            <w:r w:rsidR="00493E6A">
              <w:rPr>
                <w:webHidden/>
              </w:rPr>
              <w:t>3</w:t>
            </w:r>
            <w:r w:rsidR="00054D63" w:rsidRPr="00795B97">
              <w:rPr>
                <w:webHidden/>
              </w:rPr>
              <w:fldChar w:fldCharType="end"/>
            </w:r>
          </w:hyperlink>
        </w:p>
        <w:p w14:paraId="7E3AB110" w14:textId="0611993D" w:rsidR="00054D63" w:rsidRPr="00795B97" w:rsidRDefault="00151BCD" w:rsidP="00795B97">
          <w:pPr>
            <w:pStyle w:val="TDC1"/>
            <w:spacing w:line="240" w:lineRule="auto"/>
            <w:ind w:left="709" w:right="899"/>
            <w:rPr>
              <w:rFonts w:eastAsiaTheme="minorEastAsia"/>
              <w:b w:val="0"/>
              <w:bCs w:val="0"/>
              <w:lang w:eastAsia="es-MX"/>
            </w:rPr>
          </w:pPr>
          <w:hyperlink w:anchor="_Toc65238646" w:history="1">
            <w:r w:rsidR="002E2443" w:rsidRPr="00795B97">
              <w:rPr>
                <w:rStyle w:val="Hipervnculo"/>
              </w:rPr>
              <w:t>iv.</w:t>
            </w:r>
            <w:r w:rsidR="002E2443">
              <w:rPr>
                <w:rStyle w:val="Hipervnculo"/>
              </w:rPr>
              <w:t>E</w:t>
            </w:r>
            <w:r w:rsidR="002E2443" w:rsidRPr="00795B97">
              <w:rPr>
                <w:rStyle w:val="Hipervnculo"/>
              </w:rPr>
              <w:t>studio de fondo</w:t>
            </w:r>
            <w:r w:rsidR="00054D63" w:rsidRPr="00795B97">
              <w:rPr>
                <w:webHidden/>
              </w:rPr>
              <w:tab/>
            </w:r>
            <w:r w:rsidR="00054D63" w:rsidRPr="00795B97">
              <w:rPr>
                <w:webHidden/>
              </w:rPr>
              <w:fldChar w:fldCharType="begin"/>
            </w:r>
            <w:r w:rsidR="00054D63" w:rsidRPr="00795B97">
              <w:rPr>
                <w:webHidden/>
              </w:rPr>
              <w:instrText xml:space="preserve"> PAGEREF _Toc65238646 \h </w:instrText>
            </w:r>
            <w:r w:rsidR="00054D63" w:rsidRPr="00795B97">
              <w:rPr>
                <w:webHidden/>
              </w:rPr>
            </w:r>
            <w:r w:rsidR="00054D63" w:rsidRPr="00795B97">
              <w:rPr>
                <w:webHidden/>
              </w:rPr>
              <w:fldChar w:fldCharType="separate"/>
            </w:r>
            <w:r w:rsidR="00493E6A">
              <w:rPr>
                <w:webHidden/>
              </w:rPr>
              <w:t>4</w:t>
            </w:r>
            <w:r w:rsidR="00054D63" w:rsidRPr="00795B97">
              <w:rPr>
                <w:webHidden/>
              </w:rPr>
              <w:fldChar w:fldCharType="end"/>
            </w:r>
          </w:hyperlink>
        </w:p>
        <w:p w14:paraId="2CA7B052" w14:textId="1B835772" w:rsidR="00054D63" w:rsidRPr="00795B97" w:rsidRDefault="00151BCD" w:rsidP="00795B97">
          <w:pPr>
            <w:pStyle w:val="TDC1"/>
            <w:spacing w:line="240" w:lineRule="auto"/>
            <w:ind w:left="709" w:right="899" w:firstLine="284"/>
            <w:rPr>
              <w:rFonts w:eastAsiaTheme="minorEastAsia"/>
              <w:b w:val="0"/>
              <w:bCs w:val="0"/>
              <w:lang w:eastAsia="es-MX"/>
            </w:rPr>
          </w:pPr>
          <w:hyperlink w:anchor="_Toc65238647" w:history="1">
            <w:r w:rsidR="00B949D8" w:rsidRPr="00795B97">
              <w:rPr>
                <w:rStyle w:val="Hipervnculo"/>
                <w:b w:val="0"/>
                <w:bCs w:val="0"/>
              </w:rPr>
              <w:t>Apartado preliminar. Definición de la materia de la controver</w:t>
            </w:r>
            <w:r w:rsidR="002E2443" w:rsidRPr="00795B97">
              <w:rPr>
                <w:rStyle w:val="Hipervnculo"/>
                <w:b w:val="0"/>
                <w:bCs w:val="0"/>
              </w:rPr>
              <w:t>sia</w:t>
            </w:r>
            <w:r w:rsidR="00054D63" w:rsidRPr="00795B97">
              <w:rPr>
                <w:b w:val="0"/>
                <w:bCs w:val="0"/>
                <w:webHidden/>
              </w:rPr>
              <w:tab/>
            </w:r>
            <w:r w:rsidR="00054D63" w:rsidRPr="00795B97">
              <w:rPr>
                <w:b w:val="0"/>
                <w:bCs w:val="0"/>
                <w:webHidden/>
              </w:rPr>
              <w:fldChar w:fldCharType="begin"/>
            </w:r>
            <w:r w:rsidR="00054D63" w:rsidRPr="00795B97">
              <w:rPr>
                <w:b w:val="0"/>
                <w:bCs w:val="0"/>
                <w:webHidden/>
              </w:rPr>
              <w:instrText xml:space="preserve"> PAGEREF _Toc65238647 \h </w:instrText>
            </w:r>
            <w:r w:rsidR="00054D63" w:rsidRPr="00795B97">
              <w:rPr>
                <w:b w:val="0"/>
                <w:bCs w:val="0"/>
                <w:webHidden/>
              </w:rPr>
            </w:r>
            <w:r w:rsidR="00054D63" w:rsidRPr="00795B97">
              <w:rPr>
                <w:b w:val="0"/>
                <w:bCs w:val="0"/>
                <w:webHidden/>
              </w:rPr>
              <w:fldChar w:fldCharType="separate"/>
            </w:r>
            <w:r w:rsidR="00493E6A">
              <w:rPr>
                <w:b w:val="0"/>
                <w:bCs w:val="0"/>
                <w:webHidden/>
              </w:rPr>
              <w:t>4</w:t>
            </w:r>
            <w:r w:rsidR="00054D63" w:rsidRPr="00795B97">
              <w:rPr>
                <w:b w:val="0"/>
                <w:bCs w:val="0"/>
                <w:webHidden/>
              </w:rPr>
              <w:fldChar w:fldCharType="end"/>
            </w:r>
          </w:hyperlink>
        </w:p>
        <w:p w14:paraId="3823F6DB" w14:textId="556A87D3" w:rsidR="00054D63" w:rsidRPr="00795B97" w:rsidRDefault="00151BCD" w:rsidP="00795B97">
          <w:pPr>
            <w:pStyle w:val="TDC1"/>
            <w:spacing w:line="240" w:lineRule="auto"/>
            <w:ind w:left="709" w:right="899" w:firstLine="284"/>
            <w:rPr>
              <w:rFonts w:eastAsiaTheme="minorEastAsia"/>
              <w:b w:val="0"/>
              <w:bCs w:val="0"/>
              <w:lang w:eastAsia="es-MX"/>
            </w:rPr>
          </w:pPr>
          <w:hyperlink w:anchor="_Toc65238648" w:history="1">
            <w:r w:rsidR="00B949D8" w:rsidRPr="00795B97">
              <w:rPr>
                <w:rStyle w:val="Hipervnculo"/>
                <w:b w:val="0"/>
                <w:bCs w:val="0"/>
              </w:rPr>
              <w:t>Apartado i. Decisión</w:t>
            </w:r>
            <w:r w:rsidR="00054D63" w:rsidRPr="00795B97">
              <w:rPr>
                <w:b w:val="0"/>
                <w:bCs w:val="0"/>
                <w:webHidden/>
              </w:rPr>
              <w:tab/>
            </w:r>
            <w:r w:rsidR="00054D63" w:rsidRPr="00795B97">
              <w:rPr>
                <w:b w:val="0"/>
                <w:bCs w:val="0"/>
                <w:webHidden/>
              </w:rPr>
              <w:fldChar w:fldCharType="begin"/>
            </w:r>
            <w:r w:rsidR="00054D63" w:rsidRPr="00795B97">
              <w:rPr>
                <w:b w:val="0"/>
                <w:bCs w:val="0"/>
                <w:webHidden/>
              </w:rPr>
              <w:instrText xml:space="preserve"> PAGEREF _Toc65238648 \h </w:instrText>
            </w:r>
            <w:r w:rsidR="00054D63" w:rsidRPr="00795B97">
              <w:rPr>
                <w:b w:val="0"/>
                <w:bCs w:val="0"/>
                <w:webHidden/>
              </w:rPr>
            </w:r>
            <w:r w:rsidR="00054D63" w:rsidRPr="00795B97">
              <w:rPr>
                <w:b w:val="0"/>
                <w:bCs w:val="0"/>
                <w:webHidden/>
              </w:rPr>
              <w:fldChar w:fldCharType="separate"/>
            </w:r>
            <w:r w:rsidR="00493E6A">
              <w:rPr>
                <w:b w:val="0"/>
                <w:bCs w:val="0"/>
                <w:webHidden/>
              </w:rPr>
              <w:t>5</w:t>
            </w:r>
            <w:r w:rsidR="00054D63" w:rsidRPr="00795B97">
              <w:rPr>
                <w:b w:val="0"/>
                <w:bCs w:val="0"/>
                <w:webHidden/>
              </w:rPr>
              <w:fldChar w:fldCharType="end"/>
            </w:r>
          </w:hyperlink>
        </w:p>
        <w:p w14:paraId="56C20AD2" w14:textId="3F5C7884" w:rsidR="00054D63" w:rsidRPr="00795B97" w:rsidRDefault="00151BCD" w:rsidP="00795B97">
          <w:pPr>
            <w:pStyle w:val="TDC1"/>
            <w:spacing w:line="240" w:lineRule="auto"/>
            <w:ind w:left="709" w:right="899" w:firstLine="284"/>
            <w:rPr>
              <w:rFonts w:eastAsiaTheme="minorEastAsia"/>
              <w:b w:val="0"/>
              <w:bCs w:val="0"/>
              <w:lang w:eastAsia="es-MX"/>
            </w:rPr>
          </w:pPr>
          <w:hyperlink w:anchor="_Toc65238649" w:history="1">
            <w:r w:rsidR="00B949D8">
              <w:rPr>
                <w:rStyle w:val="Hipervnculo"/>
                <w:b w:val="0"/>
                <w:bCs w:val="0"/>
              </w:rPr>
              <w:t>A</w:t>
            </w:r>
            <w:r w:rsidR="002E2443" w:rsidRPr="00795B97">
              <w:rPr>
                <w:rStyle w:val="Hipervnculo"/>
                <w:b w:val="0"/>
                <w:bCs w:val="0"/>
              </w:rPr>
              <w:t xml:space="preserve">partado ii. </w:t>
            </w:r>
            <w:r w:rsidR="00054D63" w:rsidRPr="00795B97">
              <w:rPr>
                <w:rStyle w:val="Hipervnculo"/>
                <w:b w:val="0"/>
                <w:bCs w:val="0"/>
                <w:lang w:eastAsia="es-MX"/>
              </w:rPr>
              <w:t>Desarrollo y justificación de la decisión</w:t>
            </w:r>
            <w:r w:rsidR="00054D63" w:rsidRPr="00795B97">
              <w:rPr>
                <w:b w:val="0"/>
                <w:bCs w:val="0"/>
                <w:webHidden/>
              </w:rPr>
              <w:tab/>
            </w:r>
            <w:r w:rsidR="00054D63" w:rsidRPr="00795B97">
              <w:rPr>
                <w:b w:val="0"/>
                <w:bCs w:val="0"/>
                <w:webHidden/>
              </w:rPr>
              <w:fldChar w:fldCharType="begin"/>
            </w:r>
            <w:r w:rsidR="00054D63" w:rsidRPr="00795B97">
              <w:rPr>
                <w:b w:val="0"/>
                <w:bCs w:val="0"/>
                <w:webHidden/>
              </w:rPr>
              <w:instrText xml:space="preserve"> PAGEREF _Toc65238649 \h </w:instrText>
            </w:r>
            <w:r w:rsidR="00054D63" w:rsidRPr="00795B97">
              <w:rPr>
                <w:b w:val="0"/>
                <w:bCs w:val="0"/>
                <w:webHidden/>
              </w:rPr>
            </w:r>
            <w:r w:rsidR="00054D63" w:rsidRPr="00795B97">
              <w:rPr>
                <w:b w:val="0"/>
                <w:bCs w:val="0"/>
                <w:webHidden/>
              </w:rPr>
              <w:fldChar w:fldCharType="separate"/>
            </w:r>
            <w:r w:rsidR="00493E6A">
              <w:rPr>
                <w:b w:val="0"/>
                <w:bCs w:val="0"/>
                <w:webHidden/>
              </w:rPr>
              <w:t>5</w:t>
            </w:r>
            <w:r w:rsidR="00054D63" w:rsidRPr="00795B97">
              <w:rPr>
                <w:b w:val="0"/>
                <w:bCs w:val="0"/>
                <w:webHidden/>
              </w:rPr>
              <w:fldChar w:fldCharType="end"/>
            </w:r>
          </w:hyperlink>
        </w:p>
        <w:p w14:paraId="657217E1" w14:textId="41F0E4AF" w:rsidR="00054D63" w:rsidRPr="00795B97" w:rsidRDefault="00151BCD" w:rsidP="00795B97">
          <w:pPr>
            <w:pStyle w:val="TDC2"/>
            <w:ind w:left="709" w:right="899"/>
            <w:rPr>
              <w:rFonts w:eastAsiaTheme="minorEastAsia"/>
              <w:u w:val="none"/>
              <w:lang w:val="es-MX" w:eastAsia="es-MX"/>
            </w:rPr>
          </w:pPr>
          <w:hyperlink w:anchor="_Toc65238651" w:history="1">
            <w:r w:rsidR="002E2443" w:rsidRPr="00795B97">
              <w:rPr>
                <w:rStyle w:val="Hipervnculo"/>
                <w:u w:val="none"/>
              </w:rPr>
              <w:t>v. Resuelve</w:t>
            </w:r>
            <w:r w:rsidR="00054D63" w:rsidRPr="00795B97">
              <w:rPr>
                <w:webHidden/>
                <w:u w:val="none"/>
              </w:rPr>
              <w:tab/>
            </w:r>
            <w:r w:rsidR="00054D63" w:rsidRPr="00795B97">
              <w:rPr>
                <w:webHidden/>
                <w:u w:val="none"/>
              </w:rPr>
              <w:fldChar w:fldCharType="begin"/>
            </w:r>
            <w:r w:rsidR="00054D63" w:rsidRPr="00795B97">
              <w:rPr>
                <w:webHidden/>
                <w:u w:val="none"/>
              </w:rPr>
              <w:instrText xml:space="preserve"> PAGEREF _Toc65238651 \h </w:instrText>
            </w:r>
            <w:r w:rsidR="00054D63" w:rsidRPr="00795B97">
              <w:rPr>
                <w:webHidden/>
                <w:u w:val="none"/>
              </w:rPr>
            </w:r>
            <w:r w:rsidR="00054D63" w:rsidRPr="00795B97">
              <w:rPr>
                <w:webHidden/>
                <w:u w:val="none"/>
              </w:rPr>
              <w:fldChar w:fldCharType="separate"/>
            </w:r>
            <w:r w:rsidR="00493E6A">
              <w:rPr>
                <w:webHidden/>
                <w:u w:val="none"/>
              </w:rPr>
              <w:t>15</w:t>
            </w:r>
            <w:r w:rsidR="00054D63" w:rsidRPr="00795B97">
              <w:rPr>
                <w:webHidden/>
                <w:u w:val="none"/>
              </w:rPr>
              <w:fldChar w:fldCharType="end"/>
            </w:r>
          </w:hyperlink>
        </w:p>
        <w:p w14:paraId="650B0E71" w14:textId="1B6B3541" w:rsidR="00054D63" w:rsidRPr="00795B97" w:rsidRDefault="00054D63" w:rsidP="00795B97">
          <w:pPr>
            <w:ind w:left="709" w:right="899"/>
            <w:contextualSpacing/>
            <w:jc w:val="both"/>
            <w:rPr>
              <w:rFonts w:ascii="Arial" w:hAnsi="Arial" w:cs="Arial"/>
              <w:sz w:val="24"/>
              <w:szCs w:val="24"/>
            </w:rPr>
          </w:pPr>
          <w:r w:rsidRPr="00795B97">
            <w:rPr>
              <w:rFonts w:ascii="Arial" w:hAnsi="Arial" w:cs="Arial"/>
              <w:b/>
              <w:bCs/>
              <w:noProof/>
              <w:sz w:val="18"/>
              <w:szCs w:val="18"/>
              <w:lang w:eastAsia="es-ES"/>
            </w:rPr>
            <w:fldChar w:fldCharType="end"/>
          </w:r>
        </w:p>
      </w:sdtContent>
    </w:sdt>
    <w:bookmarkStart w:id="2" w:name="_Toc19640897" w:displacedByCustomXml="prev"/>
    <w:p w14:paraId="56D087A8" w14:textId="63F9C5DC" w:rsidR="00054D63" w:rsidRPr="00795B97" w:rsidRDefault="00B949D8" w:rsidP="00795B97">
      <w:pPr>
        <w:pStyle w:val="Ttulo1"/>
        <w:spacing w:before="0" w:beforeAutospacing="0" w:after="0" w:afterAutospacing="0"/>
        <w:jc w:val="center"/>
        <w:rPr>
          <w:rFonts w:eastAsia="Times New Roman" w:cs="Arial"/>
          <w:sz w:val="18"/>
          <w:szCs w:val="18"/>
          <w:lang w:eastAsia="es-ES"/>
        </w:rPr>
      </w:pPr>
      <w:bookmarkStart w:id="3" w:name="_Toc65238642"/>
      <w:r w:rsidRPr="00795B97">
        <w:rPr>
          <w:rFonts w:eastAsia="Times New Roman" w:cs="Arial"/>
          <w:caps w:val="0"/>
          <w:sz w:val="18"/>
          <w:szCs w:val="18"/>
          <w:lang w:eastAsia="es-ES"/>
        </w:rPr>
        <w:t>Glosario</w:t>
      </w:r>
      <w:bookmarkEnd w:id="2"/>
      <w:bookmarkEnd w:id="3"/>
    </w:p>
    <w:tbl>
      <w:tblPr>
        <w:tblStyle w:val="Tablaconcuadrcula"/>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237"/>
      </w:tblGrid>
      <w:tr w:rsidR="00054D63" w:rsidRPr="00795B97" w14:paraId="0F284A08" w14:textId="77777777" w:rsidTr="00272771">
        <w:trPr>
          <w:trHeight w:val="247"/>
        </w:trPr>
        <w:tc>
          <w:tcPr>
            <w:tcW w:w="2693" w:type="dxa"/>
          </w:tcPr>
          <w:p w14:paraId="18F11638" w14:textId="6C4B2DA1" w:rsidR="00054D63" w:rsidRPr="00795B97" w:rsidRDefault="00054D63" w:rsidP="00795B97">
            <w:pPr>
              <w:ind w:left="600" w:right="-23"/>
              <w:rPr>
                <w:rFonts w:ascii="Arial" w:hAnsi="Arial" w:cs="Arial"/>
                <w:b/>
                <w:sz w:val="18"/>
                <w:szCs w:val="18"/>
              </w:rPr>
            </w:pPr>
            <w:r w:rsidRPr="00795B97">
              <w:rPr>
                <w:rFonts w:ascii="Arial" w:hAnsi="Arial" w:cs="Arial"/>
                <w:b/>
                <w:sz w:val="18"/>
                <w:szCs w:val="18"/>
              </w:rPr>
              <w:t>Actor</w:t>
            </w:r>
            <w:r w:rsidR="00272771" w:rsidRPr="00795B97">
              <w:rPr>
                <w:rFonts w:ascii="Arial" w:hAnsi="Arial" w:cs="Arial"/>
                <w:b/>
                <w:sz w:val="18"/>
                <w:szCs w:val="18"/>
              </w:rPr>
              <w:t>a</w:t>
            </w:r>
            <w:r w:rsidRPr="00795B97">
              <w:rPr>
                <w:rFonts w:ascii="Arial" w:hAnsi="Arial" w:cs="Arial"/>
                <w:b/>
                <w:sz w:val="18"/>
                <w:szCs w:val="18"/>
              </w:rPr>
              <w:t>:</w:t>
            </w:r>
          </w:p>
          <w:p w14:paraId="73EE222E" w14:textId="60869328" w:rsidR="00054D63" w:rsidRPr="00795B97" w:rsidRDefault="00272771" w:rsidP="00795B97">
            <w:pPr>
              <w:ind w:left="600" w:right="-23"/>
              <w:rPr>
                <w:rFonts w:ascii="Arial" w:hAnsi="Arial" w:cs="Arial"/>
                <w:b/>
                <w:sz w:val="18"/>
                <w:szCs w:val="18"/>
              </w:rPr>
            </w:pPr>
            <w:r w:rsidRPr="00795B97">
              <w:rPr>
                <w:rFonts w:ascii="Arial" w:hAnsi="Arial" w:cs="Arial"/>
                <w:b/>
                <w:sz w:val="18"/>
                <w:szCs w:val="18"/>
              </w:rPr>
              <w:t>Actor:</w:t>
            </w:r>
          </w:p>
        </w:tc>
        <w:tc>
          <w:tcPr>
            <w:tcW w:w="6237" w:type="dxa"/>
          </w:tcPr>
          <w:p w14:paraId="11A235A0" w14:textId="71211F94" w:rsidR="00054D63" w:rsidRPr="00795B97" w:rsidRDefault="003D0428" w:rsidP="00795B97">
            <w:pPr>
              <w:ind w:right="309"/>
              <w:rPr>
                <w:rFonts w:ascii="Arial" w:hAnsi="Arial" w:cs="Arial"/>
                <w:sz w:val="18"/>
                <w:szCs w:val="18"/>
                <w:lang w:eastAsia="es-ES"/>
              </w:rPr>
            </w:pPr>
            <w:r w:rsidRPr="00795B97">
              <w:rPr>
                <w:rFonts w:ascii="Arial" w:hAnsi="Arial" w:cs="Arial"/>
                <w:sz w:val="18"/>
                <w:szCs w:val="18"/>
                <w:lang w:eastAsia="es-ES"/>
              </w:rPr>
              <w:t>Salma Luévano Luna</w:t>
            </w:r>
            <w:r w:rsidR="00054D63" w:rsidRPr="00795B97">
              <w:rPr>
                <w:rFonts w:ascii="Arial" w:hAnsi="Arial" w:cs="Arial"/>
                <w:sz w:val="18"/>
                <w:szCs w:val="18"/>
                <w:lang w:eastAsia="es-ES"/>
              </w:rPr>
              <w:t>.</w:t>
            </w:r>
          </w:p>
          <w:p w14:paraId="16EFF8CB" w14:textId="047A2ADA" w:rsidR="00054D63" w:rsidRPr="00795B97" w:rsidRDefault="00272771" w:rsidP="00795B97">
            <w:pPr>
              <w:ind w:right="309"/>
              <w:rPr>
                <w:rFonts w:ascii="Arial" w:hAnsi="Arial" w:cs="Arial"/>
                <w:sz w:val="18"/>
                <w:szCs w:val="18"/>
                <w:lang w:eastAsia="es-ES"/>
              </w:rPr>
            </w:pPr>
            <w:r w:rsidRPr="00795B97">
              <w:rPr>
                <w:rFonts w:ascii="Arial" w:hAnsi="Arial" w:cs="Arial"/>
                <w:sz w:val="18"/>
                <w:szCs w:val="18"/>
                <w:lang w:eastAsia="es-ES"/>
              </w:rPr>
              <w:t>Néstor Armando Camacho Mauricio.</w:t>
            </w:r>
          </w:p>
        </w:tc>
      </w:tr>
      <w:tr w:rsidR="00272771" w:rsidRPr="00795B97" w14:paraId="33BAEEFD" w14:textId="77777777" w:rsidTr="00272771">
        <w:trPr>
          <w:trHeight w:val="66"/>
        </w:trPr>
        <w:tc>
          <w:tcPr>
            <w:tcW w:w="2693" w:type="dxa"/>
          </w:tcPr>
          <w:p w14:paraId="7791470B" w14:textId="1E9E14EE" w:rsidR="00272771" w:rsidRPr="00795B97" w:rsidRDefault="00272771" w:rsidP="00795B97">
            <w:pPr>
              <w:ind w:left="600" w:right="-23"/>
              <w:rPr>
                <w:rFonts w:ascii="Arial" w:hAnsi="Arial" w:cs="Arial"/>
                <w:b/>
                <w:sz w:val="18"/>
                <w:szCs w:val="18"/>
              </w:rPr>
            </w:pPr>
            <w:r w:rsidRPr="00795B97">
              <w:rPr>
                <w:rFonts w:ascii="Arial" w:hAnsi="Arial" w:cs="Arial"/>
                <w:b/>
                <w:sz w:val="18"/>
                <w:szCs w:val="18"/>
              </w:rPr>
              <w:t>Instituto:</w:t>
            </w:r>
          </w:p>
        </w:tc>
        <w:tc>
          <w:tcPr>
            <w:tcW w:w="6237" w:type="dxa"/>
          </w:tcPr>
          <w:p w14:paraId="1B5F57E0" w14:textId="3C946A28" w:rsidR="00272771" w:rsidRPr="00795B97" w:rsidRDefault="00272771" w:rsidP="00795B97">
            <w:pPr>
              <w:ind w:right="309"/>
              <w:rPr>
                <w:rFonts w:ascii="Arial" w:hAnsi="Arial" w:cs="Arial"/>
                <w:sz w:val="18"/>
                <w:szCs w:val="18"/>
                <w:lang w:eastAsia="es-ES"/>
              </w:rPr>
            </w:pPr>
            <w:r w:rsidRPr="00795B97">
              <w:rPr>
                <w:rFonts w:ascii="Arial" w:hAnsi="Arial" w:cs="Arial"/>
                <w:sz w:val="18"/>
                <w:szCs w:val="18"/>
                <w:lang w:eastAsia="es-ES"/>
              </w:rPr>
              <w:t>Instituto Estatal Electoral.</w:t>
            </w:r>
          </w:p>
        </w:tc>
      </w:tr>
      <w:tr w:rsidR="003D0428" w:rsidRPr="00795B97" w14:paraId="536E7D65" w14:textId="77777777" w:rsidTr="00272771">
        <w:trPr>
          <w:trHeight w:val="134"/>
        </w:trPr>
        <w:tc>
          <w:tcPr>
            <w:tcW w:w="2693" w:type="dxa"/>
          </w:tcPr>
          <w:p w14:paraId="7CE41753" w14:textId="177116F4" w:rsidR="003D0428" w:rsidRPr="00795B97" w:rsidRDefault="003D0428" w:rsidP="00795B97">
            <w:pPr>
              <w:ind w:left="600" w:right="-23"/>
              <w:rPr>
                <w:rFonts w:ascii="Arial" w:hAnsi="Arial" w:cs="Arial"/>
                <w:b/>
                <w:sz w:val="18"/>
                <w:szCs w:val="18"/>
              </w:rPr>
            </w:pPr>
            <w:r w:rsidRPr="00795B97">
              <w:rPr>
                <w:rFonts w:ascii="Arial" w:hAnsi="Arial" w:cs="Arial"/>
                <w:b/>
                <w:sz w:val="18"/>
                <w:szCs w:val="18"/>
              </w:rPr>
              <w:t>Consejo General:</w:t>
            </w:r>
          </w:p>
        </w:tc>
        <w:tc>
          <w:tcPr>
            <w:tcW w:w="6237" w:type="dxa"/>
          </w:tcPr>
          <w:p w14:paraId="555FB34D" w14:textId="007BBCCF" w:rsidR="003D0428" w:rsidRPr="00795B97" w:rsidRDefault="003D0428" w:rsidP="00795B97">
            <w:pPr>
              <w:ind w:right="-107"/>
              <w:rPr>
                <w:rFonts w:ascii="Arial" w:hAnsi="Arial" w:cs="Arial"/>
                <w:sz w:val="18"/>
                <w:szCs w:val="18"/>
                <w:lang w:eastAsia="es-ES"/>
              </w:rPr>
            </w:pPr>
            <w:r w:rsidRPr="00795B97">
              <w:rPr>
                <w:rFonts w:ascii="Arial" w:hAnsi="Arial" w:cs="Arial"/>
                <w:sz w:val="18"/>
                <w:szCs w:val="18"/>
                <w:lang w:eastAsia="es-ES"/>
              </w:rPr>
              <w:t>Consejo General del Instituto Estatal Electoral.</w:t>
            </w:r>
          </w:p>
        </w:tc>
      </w:tr>
      <w:tr w:rsidR="00054D63" w:rsidRPr="00795B97" w14:paraId="78E87A9B" w14:textId="77777777" w:rsidTr="00272771">
        <w:trPr>
          <w:trHeight w:val="247"/>
        </w:trPr>
        <w:tc>
          <w:tcPr>
            <w:tcW w:w="2693" w:type="dxa"/>
          </w:tcPr>
          <w:p w14:paraId="17ACD6EC" w14:textId="0AABA938" w:rsidR="00054D63" w:rsidRPr="00795B97" w:rsidRDefault="00272771" w:rsidP="00795B97">
            <w:pPr>
              <w:ind w:left="600" w:right="-23"/>
              <w:rPr>
                <w:rFonts w:ascii="Arial" w:hAnsi="Arial" w:cs="Arial"/>
                <w:b/>
                <w:sz w:val="18"/>
                <w:szCs w:val="18"/>
              </w:rPr>
            </w:pPr>
            <w:r w:rsidRPr="00795B97">
              <w:rPr>
                <w:rFonts w:ascii="Arial" w:hAnsi="Arial" w:cs="Arial"/>
                <w:b/>
                <w:sz w:val="18"/>
                <w:szCs w:val="18"/>
              </w:rPr>
              <w:t>Acuerdo CG-A-26/2021</w:t>
            </w:r>
            <w:r w:rsidR="00054D63" w:rsidRPr="00795B97">
              <w:rPr>
                <w:rFonts w:ascii="Arial" w:hAnsi="Arial" w:cs="Arial"/>
                <w:b/>
                <w:sz w:val="18"/>
                <w:szCs w:val="18"/>
              </w:rPr>
              <w:t>:</w:t>
            </w:r>
          </w:p>
        </w:tc>
        <w:tc>
          <w:tcPr>
            <w:tcW w:w="6237" w:type="dxa"/>
          </w:tcPr>
          <w:p w14:paraId="5CBDD02F" w14:textId="0FD9CD9B" w:rsidR="00054D63" w:rsidRPr="00795B97" w:rsidRDefault="00272771" w:rsidP="00795B97">
            <w:pPr>
              <w:ind w:right="309"/>
              <w:jc w:val="both"/>
              <w:rPr>
                <w:rFonts w:ascii="Arial" w:hAnsi="Arial" w:cs="Arial"/>
                <w:sz w:val="18"/>
                <w:szCs w:val="18"/>
                <w:lang w:eastAsia="es-ES"/>
              </w:rPr>
            </w:pPr>
            <w:r w:rsidRPr="00795B97">
              <w:rPr>
                <w:rFonts w:ascii="Arial" w:hAnsi="Arial" w:cs="Arial"/>
                <w:sz w:val="18"/>
                <w:szCs w:val="18"/>
                <w:lang w:eastAsia="es-ES"/>
              </w:rPr>
              <w:t>Acuerdo del consejo general del instituto estatal electoral, mediante el cual se emiten los lineamientos que contienen las cuotas en favor de las personas que integran la comunidad LGBTIQ+ y las que presentan alguna discapacidad para el proceso electoral concurrente ordinario 2020-2021, en cumplimiento a la sentencia dictada por la Sala Regional Monterrey del Tribunal Electoral del Poder Judicial de la Federación en el expediente identificado con la clave SM-JDC-59/2021.</w:t>
            </w:r>
          </w:p>
        </w:tc>
      </w:tr>
      <w:tr w:rsidR="00054D63" w:rsidRPr="00795B97" w14:paraId="1D99E353" w14:textId="77777777" w:rsidTr="00272771">
        <w:trPr>
          <w:trHeight w:val="133"/>
        </w:trPr>
        <w:tc>
          <w:tcPr>
            <w:tcW w:w="2693" w:type="dxa"/>
          </w:tcPr>
          <w:p w14:paraId="09B47CDB" w14:textId="02CFA4A9" w:rsidR="00054D63" w:rsidRPr="00795B97" w:rsidRDefault="00054D63" w:rsidP="00795B97">
            <w:pPr>
              <w:ind w:left="600" w:right="-23"/>
              <w:rPr>
                <w:rFonts w:ascii="Arial" w:hAnsi="Arial" w:cs="Arial"/>
                <w:b/>
                <w:sz w:val="18"/>
                <w:szCs w:val="18"/>
              </w:rPr>
            </w:pPr>
            <w:r w:rsidRPr="00795B97">
              <w:rPr>
                <w:rFonts w:ascii="Arial" w:hAnsi="Arial" w:cs="Arial"/>
                <w:b/>
                <w:sz w:val="18"/>
                <w:szCs w:val="18"/>
              </w:rPr>
              <w:t>Constitución:</w:t>
            </w:r>
          </w:p>
        </w:tc>
        <w:tc>
          <w:tcPr>
            <w:tcW w:w="6237" w:type="dxa"/>
          </w:tcPr>
          <w:p w14:paraId="6C268A70" w14:textId="77777777" w:rsidR="00054D63" w:rsidRPr="00795B97" w:rsidRDefault="00054D63" w:rsidP="00795B97">
            <w:pPr>
              <w:ind w:right="309"/>
              <w:rPr>
                <w:rFonts w:ascii="Arial" w:hAnsi="Arial" w:cs="Arial"/>
                <w:sz w:val="18"/>
                <w:szCs w:val="18"/>
                <w:lang w:eastAsia="es-ES"/>
              </w:rPr>
            </w:pPr>
            <w:r w:rsidRPr="00795B97">
              <w:rPr>
                <w:rFonts w:ascii="Arial" w:hAnsi="Arial" w:cs="Arial"/>
                <w:sz w:val="18"/>
                <w:szCs w:val="18"/>
                <w:lang w:eastAsia="es-ES"/>
              </w:rPr>
              <w:t>Constitución Política de los Estados Unidos Mexicanos.</w:t>
            </w:r>
          </w:p>
        </w:tc>
      </w:tr>
      <w:tr w:rsidR="00054D63" w:rsidRPr="00795B97" w14:paraId="58C505BA" w14:textId="77777777" w:rsidTr="00272771">
        <w:trPr>
          <w:trHeight w:val="138"/>
        </w:trPr>
        <w:tc>
          <w:tcPr>
            <w:tcW w:w="2693" w:type="dxa"/>
          </w:tcPr>
          <w:p w14:paraId="502276FA" w14:textId="77777777" w:rsidR="00054D63" w:rsidRPr="00795B97" w:rsidRDefault="00054D63" w:rsidP="00795B97">
            <w:pPr>
              <w:ind w:left="600" w:right="-23"/>
              <w:rPr>
                <w:rFonts w:ascii="Arial" w:hAnsi="Arial" w:cs="Arial"/>
                <w:b/>
                <w:sz w:val="18"/>
                <w:szCs w:val="18"/>
                <w:lang w:eastAsia="es-ES"/>
              </w:rPr>
            </w:pPr>
            <w:r w:rsidRPr="00795B97">
              <w:rPr>
                <w:rFonts w:ascii="Arial" w:hAnsi="Arial" w:cs="Arial"/>
                <w:b/>
                <w:sz w:val="18"/>
                <w:szCs w:val="18"/>
                <w:lang w:eastAsia="es-ES"/>
              </w:rPr>
              <w:t>Código Electoral:</w:t>
            </w:r>
          </w:p>
        </w:tc>
        <w:tc>
          <w:tcPr>
            <w:tcW w:w="6237" w:type="dxa"/>
          </w:tcPr>
          <w:p w14:paraId="553B2346" w14:textId="77777777" w:rsidR="00054D63" w:rsidRPr="00795B97" w:rsidRDefault="00054D63" w:rsidP="00795B97">
            <w:pPr>
              <w:ind w:right="309"/>
              <w:rPr>
                <w:rFonts w:ascii="Arial" w:hAnsi="Arial" w:cs="Arial"/>
                <w:sz w:val="18"/>
                <w:szCs w:val="18"/>
                <w:lang w:eastAsia="es-ES"/>
              </w:rPr>
            </w:pPr>
            <w:r w:rsidRPr="00795B97">
              <w:rPr>
                <w:rFonts w:ascii="Arial" w:hAnsi="Arial" w:cs="Arial"/>
                <w:sz w:val="18"/>
                <w:szCs w:val="18"/>
                <w:lang w:eastAsia="es-ES"/>
              </w:rPr>
              <w:t>Código Electoral del Estado de Aguascalientes.</w:t>
            </w:r>
          </w:p>
        </w:tc>
      </w:tr>
      <w:tr w:rsidR="00054D63" w:rsidRPr="00795B97" w14:paraId="0C0FB3D6" w14:textId="77777777" w:rsidTr="00272771">
        <w:trPr>
          <w:trHeight w:val="138"/>
        </w:trPr>
        <w:tc>
          <w:tcPr>
            <w:tcW w:w="2693" w:type="dxa"/>
          </w:tcPr>
          <w:p w14:paraId="19798D7C" w14:textId="77777777" w:rsidR="00054D63" w:rsidRPr="00795B97" w:rsidRDefault="00054D63" w:rsidP="00795B97">
            <w:pPr>
              <w:ind w:left="600" w:right="-23"/>
              <w:rPr>
                <w:rFonts w:ascii="Arial" w:hAnsi="Arial" w:cs="Arial"/>
                <w:b/>
                <w:sz w:val="18"/>
                <w:szCs w:val="18"/>
                <w:lang w:eastAsia="es-ES"/>
              </w:rPr>
            </w:pPr>
            <w:r w:rsidRPr="00795B97">
              <w:rPr>
                <w:rFonts w:ascii="Arial" w:hAnsi="Arial" w:cs="Arial"/>
                <w:b/>
                <w:sz w:val="18"/>
                <w:szCs w:val="18"/>
                <w:lang w:eastAsia="es-ES"/>
              </w:rPr>
              <w:t>Sala Superior:</w:t>
            </w:r>
          </w:p>
        </w:tc>
        <w:tc>
          <w:tcPr>
            <w:tcW w:w="6237" w:type="dxa"/>
          </w:tcPr>
          <w:p w14:paraId="67358A83" w14:textId="77777777" w:rsidR="00054D63" w:rsidRPr="00795B97" w:rsidRDefault="00054D63" w:rsidP="00795B97">
            <w:pPr>
              <w:ind w:right="309"/>
              <w:rPr>
                <w:rFonts w:ascii="Arial" w:hAnsi="Arial" w:cs="Arial"/>
                <w:sz w:val="18"/>
                <w:szCs w:val="18"/>
                <w:lang w:eastAsia="es-ES"/>
              </w:rPr>
            </w:pPr>
            <w:r w:rsidRPr="00795B97">
              <w:rPr>
                <w:rFonts w:ascii="Arial" w:hAnsi="Arial" w:cs="Arial"/>
                <w:sz w:val="18"/>
                <w:szCs w:val="18"/>
                <w:lang w:eastAsia="es-ES"/>
              </w:rPr>
              <w:t>Sala Superior del Tribunal Electoral del Poder Judicial de la Federación.</w:t>
            </w:r>
          </w:p>
        </w:tc>
      </w:tr>
      <w:tr w:rsidR="00054D63" w:rsidRPr="00795B97" w14:paraId="0944EB61" w14:textId="77777777" w:rsidTr="00272771">
        <w:trPr>
          <w:trHeight w:val="138"/>
        </w:trPr>
        <w:tc>
          <w:tcPr>
            <w:tcW w:w="2693" w:type="dxa"/>
          </w:tcPr>
          <w:p w14:paraId="5172CFF7" w14:textId="77777777" w:rsidR="00054D63" w:rsidRPr="00795B97" w:rsidRDefault="00054D63" w:rsidP="00795B97">
            <w:pPr>
              <w:ind w:left="600" w:right="-23"/>
              <w:rPr>
                <w:rFonts w:ascii="Arial" w:hAnsi="Arial" w:cs="Arial"/>
                <w:b/>
                <w:sz w:val="18"/>
                <w:szCs w:val="18"/>
                <w:lang w:eastAsia="es-ES"/>
              </w:rPr>
            </w:pPr>
            <w:r w:rsidRPr="00795B97">
              <w:rPr>
                <w:rFonts w:ascii="Arial" w:hAnsi="Arial" w:cs="Arial"/>
                <w:b/>
                <w:sz w:val="18"/>
                <w:szCs w:val="18"/>
                <w:lang w:eastAsia="es-ES"/>
              </w:rPr>
              <w:t>Sala Monterrey:</w:t>
            </w:r>
          </w:p>
        </w:tc>
        <w:tc>
          <w:tcPr>
            <w:tcW w:w="6237" w:type="dxa"/>
          </w:tcPr>
          <w:p w14:paraId="3CA10B8D" w14:textId="77777777" w:rsidR="00054D63" w:rsidRPr="00795B97" w:rsidRDefault="00054D63" w:rsidP="00795B97">
            <w:pPr>
              <w:ind w:right="309"/>
              <w:rPr>
                <w:rFonts w:ascii="Arial" w:hAnsi="Arial" w:cs="Arial"/>
                <w:sz w:val="18"/>
                <w:szCs w:val="18"/>
                <w:lang w:eastAsia="es-ES"/>
              </w:rPr>
            </w:pPr>
            <w:r w:rsidRPr="00795B97">
              <w:rPr>
                <w:rFonts w:ascii="Arial" w:hAnsi="Arial" w:cs="Arial"/>
                <w:sz w:val="18"/>
                <w:szCs w:val="18"/>
                <w:lang w:eastAsia="es-ES"/>
              </w:rPr>
              <w:t>Sala Regional Monterrey del Tribunal Electoral del Poder Judicial de la Federación.</w:t>
            </w:r>
          </w:p>
        </w:tc>
      </w:tr>
      <w:tr w:rsidR="00054D63" w:rsidRPr="00795B97" w14:paraId="3CA5362C" w14:textId="77777777" w:rsidTr="00272771">
        <w:trPr>
          <w:trHeight w:val="352"/>
        </w:trPr>
        <w:tc>
          <w:tcPr>
            <w:tcW w:w="2693" w:type="dxa"/>
          </w:tcPr>
          <w:p w14:paraId="3406A2D5" w14:textId="77777777" w:rsidR="00054D63" w:rsidRPr="00795B97" w:rsidRDefault="00054D63" w:rsidP="00795B97">
            <w:pPr>
              <w:ind w:left="600" w:right="-23"/>
              <w:rPr>
                <w:rFonts w:ascii="Arial" w:hAnsi="Arial" w:cs="Arial"/>
                <w:b/>
                <w:sz w:val="18"/>
                <w:szCs w:val="18"/>
                <w:lang w:eastAsia="es-ES"/>
              </w:rPr>
            </w:pPr>
            <w:r w:rsidRPr="00795B97">
              <w:rPr>
                <w:rFonts w:ascii="Arial" w:hAnsi="Arial" w:cs="Arial"/>
                <w:b/>
                <w:sz w:val="18"/>
                <w:szCs w:val="18"/>
                <w:lang w:eastAsia="es-ES"/>
              </w:rPr>
              <w:t xml:space="preserve">Lineamientos: </w:t>
            </w:r>
          </w:p>
        </w:tc>
        <w:tc>
          <w:tcPr>
            <w:tcW w:w="6237" w:type="dxa"/>
          </w:tcPr>
          <w:p w14:paraId="7DA1A0DD" w14:textId="77777777" w:rsidR="00054D63" w:rsidRPr="00795B97" w:rsidRDefault="00054D63" w:rsidP="00795B97">
            <w:pPr>
              <w:ind w:right="309"/>
              <w:jc w:val="both"/>
              <w:rPr>
                <w:rFonts w:ascii="Arial" w:hAnsi="Arial" w:cs="Arial"/>
                <w:sz w:val="18"/>
                <w:szCs w:val="18"/>
                <w:lang w:eastAsia="es-ES"/>
              </w:rPr>
            </w:pPr>
            <w:r w:rsidRPr="00795B97">
              <w:rPr>
                <w:rFonts w:ascii="Arial" w:hAnsi="Arial" w:cs="Arial"/>
                <w:noProof/>
                <w:sz w:val="18"/>
                <w:szCs w:val="18"/>
              </w:rPr>
              <w:t>Lineamientos para la tramitación, sustanciación y resolución del juicio para la protección de los derechos político-electorales del ciudadano, el juicio electoral y asunto general, competencia del Tribunal Electoral del Estado de Aguascalientes.</w:t>
            </w:r>
          </w:p>
        </w:tc>
      </w:tr>
      <w:tr w:rsidR="00272771" w:rsidRPr="00795B97" w14:paraId="44ECD7B6" w14:textId="77777777" w:rsidTr="00257B1C">
        <w:trPr>
          <w:trHeight w:val="149"/>
        </w:trPr>
        <w:tc>
          <w:tcPr>
            <w:tcW w:w="2693" w:type="dxa"/>
          </w:tcPr>
          <w:p w14:paraId="49DEF692" w14:textId="5D555018" w:rsidR="00272771" w:rsidRPr="00795B97" w:rsidRDefault="00272771" w:rsidP="00795B97">
            <w:pPr>
              <w:ind w:left="600" w:right="-23"/>
              <w:rPr>
                <w:rFonts w:ascii="Arial" w:hAnsi="Arial" w:cs="Arial"/>
                <w:b/>
                <w:sz w:val="18"/>
                <w:szCs w:val="18"/>
                <w:lang w:eastAsia="es-ES"/>
              </w:rPr>
            </w:pPr>
            <w:r w:rsidRPr="00795B97">
              <w:rPr>
                <w:rFonts w:ascii="Arial" w:hAnsi="Arial" w:cs="Arial"/>
                <w:b/>
                <w:sz w:val="18"/>
                <w:szCs w:val="18"/>
                <w:lang w:eastAsia="es-ES"/>
              </w:rPr>
              <w:t>PEL:</w:t>
            </w:r>
          </w:p>
        </w:tc>
        <w:tc>
          <w:tcPr>
            <w:tcW w:w="6237" w:type="dxa"/>
          </w:tcPr>
          <w:p w14:paraId="09A61E80" w14:textId="0E707DC0" w:rsidR="00272771" w:rsidRPr="00795B97" w:rsidRDefault="00272771" w:rsidP="00795B97">
            <w:pPr>
              <w:ind w:right="309"/>
              <w:jc w:val="both"/>
              <w:rPr>
                <w:rFonts w:ascii="Arial" w:hAnsi="Arial" w:cs="Arial"/>
                <w:noProof/>
                <w:sz w:val="18"/>
                <w:szCs w:val="18"/>
              </w:rPr>
            </w:pPr>
            <w:r w:rsidRPr="00795B97">
              <w:rPr>
                <w:rFonts w:ascii="Arial" w:hAnsi="Arial" w:cs="Arial"/>
                <w:noProof/>
                <w:sz w:val="18"/>
                <w:szCs w:val="18"/>
              </w:rPr>
              <w:t>Proceso Electoral Local 2020-2021.</w:t>
            </w:r>
          </w:p>
        </w:tc>
      </w:tr>
      <w:tr w:rsidR="00257B1C" w:rsidRPr="00795B97" w14:paraId="2FDDCC00" w14:textId="77777777" w:rsidTr="00272771">
        <w:trPr>
          <w:trHeight w:val="352"/>
        </w:trPr>
        <w:tc>
          <w:tcPr>
            <w:tcW w:w="2693" w:type="dxa"/>
          </w:tcPr>
          <w:p w14:paraId="5697DE8A" w14:textId="10DDF9D1" w:rsidR="00257B1C" w:rsidRPr="00795B97" w:rsidRDefault="00257B1C" w:rsidP="00795B97">
            <w:pPr>
              <w:ind w:left="600" w:right="-23"/>
              <w:rPr>
                <w:rFonts w:ascii="Arial" w:hAnsi="Arial" w:cs="Arial"/>
                <w:b/>
                <w:sz w:val="18"/>
                <w:szCs w:val="18"/>
                <w:lang w:eastAsia="es-ES"/>
              </w:rPr>
            </w:pPr>
            <w:r>
              <w:rPr>
                <w:rFonts w:ascii="Arial" w:hAnsi="Arial" w:cs="Arial"/>
                <w:b/>
                <w:sz w:val="18"/>
                <w:szCs w:val="18"/>
                <w:lang w:eastAsia="es-ES"/>
              </w:rPr>
              <w:t>LGBTIQ+:</w:t>
            </w:r>
          </w:p>
        </w:tc>
        <w:tc>
          <w:tcPr>
            <w:tcW w:w="6237" w:type="dxa"/>
          </w:tcPr>
          <w:p w14:paraId="1B4136BE" w14:textId="45D5A1C1" w:rsidR="00257B1C" w:rsidRPr="00795B97" w:rsidRDefault="00257B1C" w:rsidP="00795B97">
            <w:pPr>
              <w:ind w:right="309"/>
              <w:jc w:val="both"/>
              <w:rPr>
                <w:rFonts w:ascii="Arial" w:hAnsi="Arial" w:cs="Arial"/>
                <w:noProof/>
                <w:sz w:val="18"/>
                <w:szCs w:val="18"/>
              </w:rPr>
            </w:pPr>
            <w:r w:rsidRPr="00257B1C">
              <w:rPr>
                <w:rFonts w:ascii="Arial" w:hAnsi="Arial" w:cs="Arial"/>
                <w:noProof/>
                <w:sz w:val="18"/>
                <w:szCs w:val="18"/>
              </w:rPr>
              <w:t>Comunidad Lesbiana, Gay, Bisexual, Travesti, Transgénero, Transexual, Intersexual</w:t>
            </w:r>
            <w:r w:rsidR="0033783A">
              <w:rPr>
                <w:rFonts w:ascii="Arial" w:hAnsi="Arial" w:cs="Arial"/>
                <w:noProof/>
                <w:sz w:val="18"/>
                <w:szCs w:val="18"/>
              </w:rPr>
              <w:t xml:space="preserve">, Queer </w:t>
            </w:r>
            <w:r w:rsidRPr="00257B1C">
              <w:rPr>
                <w:rFonts w:ascii="Arial" w:hAnsi="Arial" w:cs="Arial"/>
                <w:noProof/>
                <w:sz w:val="18"/>
                <w:szCs w:val="18"/>
              </w:rPr>
              <w:t>y más.</w:t>
            </w:r>
          </w:p>
        </w:tc>
      </w:tr>
      <w:tr w:rsidR="002E2443" w:rsidRPr="00795B97" w14:paraId="2C7911B1" w14:textId="77777777" w:rsidTr="002E2443">
        <w:trPr>
          <w:trHeight w:val="233"/>
        </w:trPr>
        <w:tc>
          <w:tcPr>
            <w:tcW w:w="2693" w:type="dxa"/>
          </w:tcPr>
          <w:p w14:paraId="435F2868" w14:textId="42EC5892" w:rsidR="002E2443" w:rsidRDefault="002E2443" w:rsidP="00795B97">
            <w:pPr>
              <w:ind w:left="600" w:right="-23"/>
              <w:rPr>
                <w:rFonts w:ascii="Arial" w:hAnsi="Arial" w:cs="Arial"/>
                <w:b/>
                <w:sz w:val="18"/>
                <w:szCs w:val="18"/>
                <w:lang w:eastAsia="es-ES"/>
              </w:rPr>
            </w:pPr>
            <w:r>
              <w:rPr>
                <w:rFonts w:ascii="Arial" w:hAnsi="Arial" w:cs="Arial"/>
                <w:b/>
                <w:sz w:val="18"/>
                <w:szCs w:val="18"/>
                <w:lang w:eastAsia="es-ES"/>
              </w:rPr>
              <w:t>RP:</w:t>
            </w:r>
          </w:p>
        </w:tc>
        <w:tc>
          <w:tcPr>
            <w:tcW w:w="6237" w:type="dxa"/>
          </w:tcPr>
          <w:p w14:paraId="349E002A" w14:textId="1B7B2091" w:rsidR="002E2443" w:rsidRPr="00257B1C" w:rsidRDefault="002E2443" w:rsidP="00795B97">
            <w:pPr>
              <w:ind w:right="309"/>
              <w:jc w:val="both"/>
              <w:rPr>
                <w:rFonts w:ascii="Arial" w:hAnsi="Arial" w:cs="Arial"/>
                <w:noProof/>
                <w:sz w:val="18"/>
                <w:szCs w:val="18"/>
              </w:rPr>
            </w:pPr>
            <w:r>
              <w:rPr>
                <w:rFonts w:ascii="Arial" w:hAnsi="Arial" w:cs="Arial"/>
                <w:noProof/>
                <w:sz w:val="18"/>
                <w:szCs w:val="18"/>
              </w:rPr>
              <w:t>Principio de representación proporcional.</w:t>
            </w:r>
          </w:p>
        </w:tc>
      </w:tr>
      <w:tr w:rsidR="002E2443" w:rsidRPr="00795B97" w14:paraId="64C8AD5B" w14:textId="77777777" w:rsidTr="00272771">
        <w:trPr>
          <w:trHeight w:val="352"/>
        </w:trPr>
        <w:tc>
          <w:tcPr>
            <w:tcW w:w="2693" w:type="dxa"/>
          </w:tcPr>
          <w:p w14:paraId="470B2809" w14:textId="56E3DDEA" w:rsidR="002E2443" w:rsidRDefault="002E2443" w:rsidP="00795B97">
            <w:pPr>
              <w:ind w:left="600" w:right="-23"/>
              <w:rPr>
                <w:rFonts w:ascii="Arial" w:hAnsi="Arial" w:cs="Arial"/>
                <w:b/>
                <w:sz w:val="18"/>
                <w:szCs w:val="18"/>
                <w:lang w:eastAsia="es-ES"/>
              </w:rPr>
            </w:pPr>
            <w:r>
              <w:rPr>
                <w:rFonts w:ascii="Arial" w:hAnsi="Arial" w:cs="Arial"/>
                <w:b/>
                <w:sz w:val="18"/>
                <w:szCs w:val="18"/>
                <w:lang w:eastAsia="es-ES"/>
              </w:rPr>
              <w:t>MR:</w:t>
            </w:r>
          </w:p>
        </w:tc>
        <w:tc>
          <w:tcPr>
            <w:tcW w:w="6237" w:type="dxa"/>
          </w:tcPr>
          <w:p w14:paraId="120BABC0" w14:textId="17ADEB8E" w:rsidR="002E2443" w:rsidRDefault="002E2443" w:rsidP="00795B97">
            <w:pPr>
              <w:ind w:right="309"/>
              <w:jc w:val="both"/>
              <w:rPr>
                <w:rFonts w:ascii="Arial" w:hAnsi="Arial" w:cs="Arial"/>
                <w:noProof/>
                <w:sz w:val="18"/>
                <w:szCs w:val="18"/>
              </w:rPr>
            </w:pPr>
            <w:r>
              <w:rPr>
                <w:rFonts w:ascii="Arial" w:hAnsi="Arial" w:cs="Arial"/>
                <w:noProof/>
                <w:sz w:val="18"/>
                <w:szCs w:val="18"/>
              </w:rPr>
              <w:t>Principio de mayoría relativa.</w:t>
            </w:r>
          </w:p>
        </w:tc>
      </w:tr>
      <w:tr w:rsidR="00054D63" w:rsidRPr="00795B97" w14:paraId="6DB82EC5" w14:textId="77777777" w:rsidTr="00272771">
        <w:trPr>
          <w:trHeight w:val="352"/>
        </w:trPr>
        <w:tc>
          <w:tcPr>
            <w:tcW w:w="2693" w:type="dxa"/>
          </w:tcPr>
          <w:p w14:paraId="0E7B3858" w14:textId="77777777" w:rsidR="00054D63" w:rsidRPr="00795B97" w:rsidRDefault="00054D63" w:rsidP="00795B97">
            <w:pPr>
              <w:ind w:left="600" w:right="-23"/>
              <w:rPr>
                <w:rFonts w:ascii="Arial" w:hAnsi="Arial" w:cs="Arial"/>
                <w:b/>
                <w:sz w:val="18"/>
                <w:szCs w:val="18"/>
                <w:lang w:eastAsia="es-ES"/>
              </w:rPr>
            </w:pPr>
          </w:p>
        </w:tc>
        <w:tc>
          <w:tcPr>
            <w:tcW w:w="6237" w:type="dxa"/>
          </w:tcPr>
          <w:p w14:paraId="282D5239" w14:textId="77777777" w:rsidR="00054D63" w:rsidRPr="00795B97" w:rsidRDefault="00054D63" w:rsidP="00795B97">
            <w:pPr>
              <w:ind w:right="309"/>
              <w:jc w:val="both"/>
              <w:rPr>
                <w:rFonts w:ascii="Arial" w:hAnsi="Arial" w:cs="Arial"/>
                <w:noProof/>
                <w:sz w:val="18"/>
                <w:szCs w:val="18"/>
              </w:rPr>
            </w:pPr>
          </w:p>
        </w:tc>
      </w:tr>
    </w:tbl>
    <w:p w14:paraId="2DD9981D" w14:textId="64B7B82B" w:rsidR="00054D63" w:rsidRPr="00795B97" w:rsidRDefault="00371850" w:rsidP="00795B97">
      <w:pPr>
        <w:pStyle w:val="Ttulo1"/>
        <w:numPr>
          <w:ilvl w:val="0"/>
          <w:numId w:val="2"/>
        </w:numPr>
        <w:spacing w:before="0" w:beforeAutospacing="0" w:after="0" w:afterAutospacing="0"/>
        <w:ind w:left="426" w:hanging="426"/>
        <w:jc w:val="left"/>
        <w:rPr>
          <w:rFonts w:eastAsia="Times New Roman" w:cs="Arial"/>
          <w:szCs w:val="24"/>
        </w:rPr>
      </w:pPr>
      <w:bookmarkStart w:id="4" w:name="_Toc65238643"/>
      <w:r w:rsidRPr="00795B97">
        <w:rPr>
          <w:rFonts w:eastAsia="Times New Roman" w:cs="Arial"/>
          <w:caps w:val="0"/>
          <w:szCs w:val="24"/>
        </w:rPr>
        <w:lastRenderedPageBreak/>
        <w:t>Antecedentes del caso</w:t>
      </w:r>
      <w:r w:rsidR="00054D63" w:rsidRPr="00795B97">
        <w:rPr>
          <w:rStyle w:val="Refdenotaalpie"/>
          <w:rFonts w:eastAsia="Times New Roman" w:cs="Arial"/>
          <w:szCs w:val="24"/>
        </w:rPr>
        <w:footnoteReference w:id="2"/>
      </w:r>
      <w:bookmarkEnd w:id="4"/>
    </w:p>
    <w:p w14:paraId="0FAD6150" w14:textId="77777777" w:rsidR="00054D63" w:rsidRPr="00D21369" w:rsidRDefault="00054D63" w:rsidP="00D21369">
      <w:pPr>
        <w:pStyle w:val="Sinespaciado"/>
      </w:pPr>
    </w:p>
    <w:p w14:paraId="4747E8B9" w14:textId="2C18341C" w:rsidR="00C86238" w:rsidRPr="00795B97" w:rsidRDefault="00272771" w:rsidP="00795B97">
      <w:pPr>
        <w:pStyle w:val="Prrafodelista"/>
        <w:numPr>
          <w:ilvl w:val="0"/>
          <w:numId w:val="6"/>
        </w:numPr>
        <w:tabs>
          <w:tab w:val="left" w:pos="426"/>
        </w:tabs>
        <w:spacing w:line="360" w:lineRule="auto"/>
        <w:ind w:left="0" w:firstLine="0"/>
        <w:jc w:val="both"/>
        <w:rPr>
          <w:rFonts w:ascii="Arial" w:hAnsi="Arial" w:cs="Arial"/>
          <w:sz w:val="24"/>
          <w:szCs w:val="24"/>
        </w:rPr>
      </w:pPr>
      <w:r w:rsidRPr="00795B97">
        <w:rPr>
          <w:rFonts w:ascii="Arial" w:hAnsi="Arial" w:cs="Arial"/>
          <w:b/>
          <w:bCs/>
          <w:sz w:val="24"/>
          <w:szCs w:val="24"/>
        </w:rPr>
        <w:t xml:space="preserve">PEL 2020-2021. </w:t>
      </w:r>
      <w:r w:rsidRPr="00795B97">
        <w:rPr>
          <w:rFonts w:ascii="Arial" w:hAnsi="Arial" w:cs="Arial"/>
          <w:sz w:val="24"/>
          <w:szCs w:val="24"/>
        </w:rPr>
        <w:t xml:space="preserve">El </w:t>
      </w:r>
      <w:r w:rsidR="002E3624" w:rsidRPr="00795B97">
        <w:rPr>
          <w:rFonts w:ascii="Arial" w:hAnsi="Arial" w:cs="Arial"/>
          <w:sz w:val="24"/>
          <w:szCs w:val="24"/>
        </w:rPr>
        <w:t>3</w:t>
      </w:r>
      <w:r w:rsidRPr="00795B97">
        <w:rPr>
          <w:rFonts w:ascii="Arial" w:hAnsi="Arial" w:cs="Arial"/>
          <w:sz w:val="24"/>
          <w:szCs w:val="24"/>
        </w:rPr>
        <w:t xml:space="preserve"> de noviembre de </w:t>
      </w:r>
      <w:r w:rsidR="002E3624" w:rsidRPr="00795B97">
        <w:rPr>
          <w:rFonts w:ascii="Arial" w:hAnsi="Arial" w:cs="Arial"/>
          <w:sz w:val="24"/>
          <w:szCs w:val="24"/>
        </w:rPr>
        <w:t>2020</w:t>
      </w:r>
      <w:r w:rsidRPr="00795B97">
        <w:rPr>
          <w:rFonts w:ascii="Arial" w:hAnsi="Arial" w:cs="Arial"/>
          <w:sz w:val="24"/>
          <w:szCs w:val="24"/>
        </w:rPr>
        <w:t xml:space="preserve">, inició el </w:t>
      </w:r>
      <w:r w:rsidR="00795B97">
        <w:rPr>
          <w:rFonts w:ascii="Arial" w:hAnsi="Arial" w:cs="Arial"/>
          <w:sz w:val="24"/>
          <w:szCs w:val="24"/>
        </w:rPr>
        <w:t>proceso electoral local</w:t>
      </w:r>
      <w:r w:rsidRPr="00795B97">
        <w:rPr>
          <w:rFonts w:ascii="Arial" w:hAnsi="Arial" w:cs="Arial"/>
          <w:sz w:val="24"/>
          <w:szCs w:val="24"/>
        </w:rPr>
        <w:t xml:space="preserve"> para renovar los Ayuntamientos y Diputaciones del Estado de Aguascalientes.</w:t>
      </w:r>
    </w:p>
    <w:p w14:paraId="64D56ACC" w14:textId="77777777" w:rsidR="002E3624" w:rsidRPr="00D21369" w:rsidRDefault="002E3624" w:rsidP="00D21369">
      <w:pPr>
        <w:pStyle w:val="Sinespaciado"/>
      </w:pPr>
    </w:p>
    <w:p w14:paraId="33ED0D93" w14:textId="710233F2" w:rsidR="002E3624" w:rsidRPr="00795B97" w:rsidRDefault="002E3624" w:rsidP="00795B97">
      <w:pPr>
        <w:pStyle w:val="Prrafodelista"/>
        <w:numPr>
          <w:ilvl w:val="0"/>
          <w:numId w:val="6"/>
        </w:numPr>
        <w:tabs>
          <w:tab w:val="left" w:pos="426"/>
        </w:tabs>
        <w:spacing w:line="360" w:lineRule="auto"/>
        <w:ind w:left="0" w:firstLine="0"/>
        <w:jc w:val="both"/>
        <w:rPr>
          <w:rFonts w:ascii="Arial" w:hAnsi="Arial" w:cs="Arial"/>
          <w:sz w:val="24"/>
          <w:szCs w:val="24"/>
        </w:rPr>
      </w:pPr>
      <w:r w:rsidRPr="00795B97">
        <w:rPr>
          <w:rFonts w:ascii="Arial" w:hAnsi="Arial" w:cs="Arial"/>
          <w:b/>
          <w:bCs/>
          <w:sz w:val="24"/>
          <w:szCs w:val="24"/>
        </w:rPr>
        <w:t>Acuerdo CG-A-36/2020.</w:t>
      </w:r>
      <w:r w:rsidRPr="00795B97">
        <w:rPr>
          <w:rFonts w:ascii="Arial" w:hAnsi="Arial" w:cs="Arial"/>
          <w:sz w:val="24"/>
          <w:szCs w:val="24"/>
        </w:rPr>
        <w:t xml:space="preserve"> El 6 de noviembre de 20</w:t>
      </w:r>
      <w:r w:rsidR="00BE29AA">
        <w:rPr>
          <w:rFonts w:ascii="Arial" w:hAnsi="Arial" w:cs="Arial"/>
          <w:sz w:val="24"/>
          <w:szCs w:val="24"/>
        </w:rPr>
        <w:t>20, el Consejo General emitió</w:t>
      </w:r>
      <w:r w:rsidR="002E2443">
        <w:rPr>
          <w:rFonts w:ascii="Arial" w:hAnsi="Arial" w:cs="Arial"/>
          <w:sz w:val="24"/>
          <w:szCs w:val="24"/>
        </w:rPr>
        <w:t xml:space="preserve"> </w:t>
      </w:r>
      <w:r w:rsidR="00BE29AA">
        <w:rPr>
          <w:rFonts w:ascii="Arial" w:hAnsi="Arial" w:cs="Arial"/>
          <w:sz w:val="24"/>
          <w:szCs w:val="24"/>
        </w:rPr>
        <w:t xml:space="preserve">un </w:t>
      </w:r>
      <w:r w:rsidRPr="00795B97">
        <w:rPr>
          <w:rFonts w:ascii="Arial" w:hAnsi="Arial" w:cs="Arial"/>
          <w:sz w:val="24"/>
          <w:szCs w:val="24"/>
        </w:rPr>
        <w:t xml:space="preserve">acuerdo </w:t>
      </w:r>
      <w:r w:rsidR="00BE29AA">
        <w:rPr>
          <w:rFonts w:ascii="Arial" w:hAnsi="Arial" w:cs="Arial"/>
          <w:sz w:val="24"/>
          <w:szCs w:val="24"/>
        </w:rPr>
        <w:t xml:space="preserve">que estableció </w:t>
      </w:r>
      <w:r w:rsidRPr="00795B97">
        <w:rPr>
          <w:rFonts w:ascii="Arial" w:hAnsi="Arial" w:cs="Arial"/>
          <w:sz w:val="24"/>
          <w:szCs w:val="24"/>
        </w:rPr>
        <w:t>las reglas para garantizar la paridad de género en el proceso electoral concurrente ordinario 2020-2021.</w:t>
      </w:r>
    </w:p>
    <w:p w14:paraId="7B827C46" w14:textId="77777777" w:rsidR="005352D3" w:rsidRPr="00D21369" w:rsidRDefault="005352D3" w:rsidP="00D21369">
      <w:pPr>
        <w:pStyle w:val="Sinespaciado"/>
      </w:pPr>
    </w:p>
    <w:p w14:paraId="2AE62F36" w14:textId="21442365" w:rsidR="00C86238" w:rsidRPr="001F17C5" w:rsidRDefault="00C86238" w:rsidP="006944F2">
      <w:pPr>
        <w:pStyle w:val="Prrafodelista"/>
        <w:numPr>
          <w:ilvl w:val="0"/>
          <w:numId w:val="6"/>
        </w:numPr>
        <w:tabs>
          <w:tab w:val="left" w:pos="426"/>
        </w:tabs>
        <w:spacing w:line="360" w:lineRule="auto"/>
        <w:ind w:left="0" w:firstLine="0"/>
        <w:jc w:val="both"/>
        <w:rPr>
          <w:rFonts w:ascii="Arial" w:hAnsi="Arial" w:cs="Arial"/>
          <w:sz w:val="24"/>
          <w:szCs w:val="24"/>
        </w:rPr>
      </w:pPr>
      <w:r w:rsidRPr="001F17C5">
        <w:rPr>
          <w:rFonts w:ascii="Arial" w:hAnsi="Arial" w:cs="Arial"/>
          <w:b/>
          <w:bCs/>
          <w:sz w:val="24"/>
          <w:szCs w:val="24"/>
        </w:rPr>
        <w:t>TEEA-JDC-007/2021</w:t>
      </w:r>
      <w:r w:rsidR="002E3624" w:rsidRPr="001F17C5">
        <w:rPr>
          <w:rFonts w:ascii="Arial" w:hAnsi="Arial" w:cs="Arial"/>
          <w:b/>
          <w:bCs/>
          <w:sz w:val="24"/>
          <w:szCs w:val="24"/>
        </w:rPr>
        <w:t xml:space="preserve"> y acumulado</w:t>
      </w:r>
      <w:r w:rsidRPr="001F17C5">
        <w:rPr>
          <w:rFonts w:ascii="Arial" w:hAnsi="Arial" w:cs="Arial"/>
          <w:b/>
          <w:bCs/>
          <w:sz w:val="24"/>
          <w:szCs w:val="24"/>
        </w:rPr>
        <w:t xml:space="preserve">. </w:t>
      </w:r>
      <w:r w:rsidR="002E3624" w:rsidRPr="001F17C5">
        <w:rPr>
          <w:rFonts w:ascii="Arial" w:hAnsi="Arial" w:cs="Arial"/>
          <w:sz w:val="24"/>
          <w:szCs w:val="24"/>
        </w:rPr>
        <w:t>El 22 de enero</w:t>
      </w:r>
      <w:r w:rsidR="00E97908" w:rsidRPr="001F17C5">
        <w:rPr>
          <w:rFonts w:ascii="Arial" w:hAnsi="Arial" w:cs="Arial"/>
          <w:sz w:val="24"/>
          <w:szCs w:val="24"/>
        </w:rPr>
        <w:t xml:space="preserve"> y 2 febrero</w:t>
      </w:r>
      <w:r w:rsidR="002E3624" w:rsidRPr="001F17C5">
        <w:rPr>
          <w:rFonts w:ascii="Arial" w:hAnsi="Arial" w:cs="Arial"/>
          <w:sz w:val="24"/>
          <w:szCs w:val="24"/>
        </w:rPr>
        <w:t>, Salma Luevano y Juan Carlos Soto</w:t>
      </w:r>
      <w:r w:rsidR="00E97908" w:rsidRPr="001F17C5">
        <w:rPr>
          <w:rFonts w:ascii="Arial" w:hAnsi="Arial" w:cs="Arial"/>
          <w:sz w:val="24"/>
          <w:szCs w:val="24"/>
        </w:rPr>
        <w:t>, respectivamente,</w:t>
      </w:r>
      <w:r w:rsidR="002E3624" w:rsidRPr="001F17C5">
        <w:rPr>
          <w:rFonts w:ascii="Arial" w:hAnsi="Arial" w:cs="Arial"/>
          <w:sz w:val="24"/>
          <w:szCs w:val="24"/>
        </w:rPr>
        <w:t xml:space="preserve"> impugnaron la supuesta omisión del Instituto Local de implementar acciones afirmativas en beneficio de grupos vulnerables como LGBTIQ+ y personas con discapacidad.</w:t>
      </w:r>
      <w:r w:rsidR="001F17C5" w:rsidRPr="001F17C5">
        <w:rPr>
          <w:rFonts w:ascii="Arial" w:hAnsi="Arial" w:cs="Arial"/>
          <w:sz w:val="24"/>
          <w:szCs w:val="24"/>
        </w:rPr>
        <w:t xml:space="preserve"> </w:t>
      </w:r>
      <w:r w:rsidR="005352D3" w:rsidRPr="001F17C5">
        <w:rPr>
          <w:rFonts w:ascii="Arial" w:hAnsi="Arial" w:cs="Arial"/>
          <w:sz w:val="24"/>
          <w:szCs w:val="24"/>
        </w:rPr>
        <w:t xml:space="preserve">El 11 </w:t>
      </w:r>
      <w:r w:rsidR="001F17C5">
        <w:rPr>
          <w:rFonts w:ascii="Arial" w:hAnsi="Arial" w:cs="Arial"/>
          <w:sz w:val="24"/>
          <w:szCs w:val="24"/>
        </w:rPr>
        <w:t>siguiente</w:t>
      </w:r>
      <w:r w:rsidR="005352D3" w:rsidRPr="001F17C5">
        <w:rPr>
          <w:rFonts w:ascii="Arial" w:hAnsi="Arial" w:cs="Arial"/>
          <w:sz w:val="24"/>
          <w:szCs w:val="24"/>
        </w:rPr>
        <w:t xml:space="preserve">, este Tribunal dictó sentencia que ordenó al Instituto local la emisión de lineamientos </w:t>
      </w:r>
      <w:r w:rsidR="00E33AD1" w:rsidRPr="001F17C5">
        <w:rPr>
          <w:rFonts w:ascii="Arial" w:hAnsi="Arial" w:cs="Arial"/>
          <w:sz w:val="24"/>
          <w:szCs w:val="24"/>
        </w:rPr>
        <w:t>para la implementación de</w:t>
      </w:r>
      <w:r w:rsidR="005352D3" w:rsidRPr="001F17C5">
        <w:rPr>
          <w:rFonts w:ascii="Arial" w:hAnsi="Arial" w:cs="Arial"/>
          <w:sz w:val="24"/>
          <w:szCs w:val="24"/>
        </w:rPr>
        <w:t xml:space="preserve"> una acción afirmativa en beneficio de los grupos en situación de vulnerabilidad</w:t>
      </w:r>
      <w:r w:rsidR="002E3624" w:rsidRPr="001F17C5">
        <w:rPr>
          <w:rFonts w:ascii="Arial" w:hAnsi="Arial" w:cs="Arial"/>
          <w:sz w:val="24"/>
          <w:szCs w:val="24"/>
        </w:rPr>
        <w:t>, en un plazo de 10 días</w:t>
      </w:r>
      <w:r w:rsidR="005352D3" w:rsidRPr="001F17C5">
        <w:rPr>
          <w:rFonts w:ascii="Arial" w:hAnsi="Arial" w:cs="Arial"/>
          <w:sz w:val="24"/>
          <w:szCs w:val="24"/>
        </w:rPr>
        <w:t xml:space="preserve">. Inconformes, la y el promovente </w:t>
      </w:r>
      <w:r w:rsidR="001F17C5">
        <w:rPr>
          <w:rFonts w:ascii="Arial" w:hAnsi="Arial" w:cs="Arial"/>
          <w:sz w:val="24"/>
          <w:szCs w:val="24"/>
        </w:rPr>
        <w:t>presentaron</w:t>
      </w:r>
      <w:r w:rsidR="005352D3" w:rsidRPr="001F17C5">
        <w:rPr>
          <w:rFonts w:ascii="Arial" w:hAnsi="Arial" w:cs="Arial"/>
          <w:sz w:val="24"/>
          <w:szCs w:val="24"/>
        </w:rPr>
        <w:t xml:space="preserve"> un juicio ciudadano ante la Sala Monterrey.</w:t>
      </w:r>
    </w:p>
    <w:p w14:paraId="0FE8F258" w14:textId="4FE195F1" w:rsidR="00E33AD1" w:rsidRPr="00D21369" w:rsidRDefault="00E33AD1" w:rsidP="00D21369">
      <w:pPr>
        <w:pStyle w:val="Sinespaciado"/>
      </w:pPr>
    </w:p>
    <w:p w14:paraId="243DE531" w14:textId="44E349D1" w:rsidR="00C86238" w:rsidRPr="00795B97" w:rsidRDefault="00096F89" w:rsidP="00795B97">
      <w:pPr>
        <w:pStyle w:val="Prrafodelista"/>
        <w:numPr>
          <w:ilvl w:val="0"/>
          <w:numId w:val="6"/>
        </w:numPr>
        <w:spacing w:line="360" w:lineRule="auto"/>
        <w:ind w:left="0" w:firstLine="0"/>
        <w:jc w:val="both"/>
        <w:rPr>
          <w:rFonts w:ascii="Arial" w:hAnsi="Arial" w:cs="Arial"/>
          <w:sz w:val="24"/>
          <w:szCs w:val="24"/>
        </w:rPr>
      </w:pPr>
      <w:r w:rsidRPr="00795B97">
        <w:rPr>
          <w:rFonts w:ascii="Arial" w:hAnsi="Arial" w:cs="Arial"/>
          <w:b/>
          <w:bCs/>
          <w:sz w:val="24"/>
          <w:szCs w:val="24"/>
        </w:rPr>
        <w:t>Sentencia de Sala Monterrey</w:t>
      </w:r>
      <w:r w:rsidR="00B949D8">
        <w:rPr>
          <w:rFonts w:ascii="Arial" w:hAnsi="Arial" w:cs="Arial"/>
          <w:b/>
          <w:bCs/>
          <w:sz w:val="24"/>
          <w:szCs w:val="24"/>
        </w:rPr>
        <w:t xml:space="preserve"> (SM-JDC-59/2021)</w:t>
      </w:r>
      <w:r w:rsidRPr="00795B97">
        <w:rPr>
          <w:rFonts w:ascii="Arial" w:hAnsi="Arial" w:cs="Arial"/>
          <w:b/>
          <w:bCs/>
          <w:sz w:val="24"/>
          <w:szCs w:val="24"/>
        </w:rPr>
        <w:t xml:space="preserve">. </w:t>
      </w:r>
      <w:r w:rsidRPr="00795B97">
        <w:rPr>
          <w:rFonts w:ascii="Arial" w:hAnsi="Arial" w:cs="Arial"/>
          <w:sz w:val="24"/>
          <w:szCs w:val="24"/>
        </w:rPr>
        <w:t xml:space="preserve"> E</w:t>
      </w:r>
      <w:r w:rsidR="004B5376" w:rsidRPr="00795B97">
        <w:rPr>
          <w:rFonts w:ascii="Arial" w:hAnsi="Arial" w:cs="Arial"/>
          <w:sz w:val="24"/>
          <w:szCs w:val="24"/>
        </w:rPr>
        <w:t xml:space="preserve">n sesión de </w:t>
      </w:r>
      <w:r w:rsidRPr="00795B97">
        <w:rPr>
          <w:rFonts w:ascii="Arial" w:hAnsi="Arial" w:cs="Arial"/>
          <w:sz w:val="24"/>
          <w:szCs w:val="24"/>
        </w:rPr>
        <w:t xml:space="preserve">20 de febrero, la Sala Monterrey </w:t>
      </w:r>
      <w:r w:rsidR="005F574E">
        <w:rPr>
          <w:rFonts w:ascii="Arial" w:hAnsi="Arial" w:cs="Arial"/>
          <w:sz w:val="24"/>
          <w:szCs w:val="24"/>
        </w:rPr>
        <w:t>dict</w:t>
      </w:r>
      <w:r w:rsidR="002E2443">
        <w:rPr>
          <w:rFonts w:ascii="Arial" w:hAnsi="Arial" w:cs="Arial"/>
          <w:sz w:val="24"/>
          <w:szCs w:val="24"/>
        </w:rPr>
        <w:t>ó</w:t>
      </w:r>
      <w:r w:rsidR="005F574E">
        <w:rPr>
          <w:rFonts w:ascii="Arial" w:hAnsi="Arial" w:cs="Arial"/>
          <w:sz w:val="24"/>
          <w:szCs w:val="24"/>
        </w:rPr>
        <w:t xml:space="preserve"> sentencia que </w:t>
      </w:r>
      <w:r w:rsidRPr="00795B97">
        <w:rPr>
          <w:rFonts w:ascii="Arial" w:hAnsi="Arial" w:cs="Arial"/>
          <w:sz w:val="24"/>
          <w:szCs w:val="24"/>
        </w:rPr>
        <w:t>modific</w:t>
      </w:r>
      <w:r w:rsidR="004B5376" w:rsidRPr="00795B97">
        <w:rPr>
          <w:rFonts w:ascii="Arial" w:hAnsi="Arial" w:cs="Arial"/>
          <w:sz w:val="24"/>
          <w:szCs w:val="24"/>
        </w:rPr>
        <w:t>ó</w:t>
      </w:r>
      <w:r w:rsidR="005F574E">
        <w:rPr>
          <w:rFonts w:ascii="Arial" w:hAnsi="Arial" w:cs="Arial"/>
          <w:sz w:val="24"/>
          <w:szCs w:val="24"/>
        </w:rPr>
        <w:t xml:space="preserve"> la resolución</w:t>
      </w:r>
      <w:r w:rsidR="004B5376" w:rsidRPr="00795B97">
        <w:rPr>
          <w:rFonts w:ascii="Arial" w:hAnsi="Arial" w:cs="Arial"/>
          <w:sz w:val="24"/>
          <w:szCs w:val="24"/>
        </w:rPr>
        <w:t xml:space="preserve"> </w:t>
      </w:r>
      <w:r w:rsidR="005F574E">
        <w:rPr>
          <w:rFonts w:ascii="Arial" w:hAnsi="Arial" w:cs="Arial"/>
          <w:sz w:val="24"/>
          <w:szCs w:val="24"/>
        </w:rPr>
        <w:t xml:space="preserve">del Tribunal local, </w:t>
      </w:r>
      <w:r w:rsidR="002E3624" w:rsidRPr="00795B97">
        <w:rPr>
          <w:rFonts w:ascii="Arial" w:hAnsi="Arial" w:cs="Arial"/>
          <w:sz w:val="24"/>
          <w:szCs w:val="24"/>
        </w:rPr>
        <w:t xml:space="preserve">al considerar </w:t>
      </w:r>
      <w:r w:rsidR="005F574E">
        <w:rPr>
          <w:rFonts w:ascii="Arial" w:hAnsi="Arial" w:cs="Arial"/>
          <w:sz w:val="24"/>
          <w:szCs w:val="24"/>
        </w:rPr>
        <w:t xml:space="preserve">básicamente que </w:t>
      </w:r>
      <w:r w:rsidR="002E3624" w:rsidRPr="00795B97">
        <w:rPr>
          <w:rFonts w:ascii="Arial" w:hAnsi="Arial" w:cs="Arial"/>
          <w:sz w:val="24"/>
          <w:szCs w:val="24"/>
        </w:rPr>
        <w:t xml:space="preserve">debió vincular al Instituto </w:t>
      </w:r>
      <w:r w:rsidR="004B5376" w:rsidRPr="00795B97">
        <w:rPr>
          <w:rFonts w:ascii="Arial" w:hAnsi="Arial" w:cs="Arial"/>
          <w:sz w:val="24"/>
          <w:szCs w:val="24"/>
        </w:rPr>
        <w:t xml:space="preserve">para que implementara una cuota </w:t>
      </w:r>
      <w:r w:rsidR="002E3624" w:rsidRPr="00795B97">
        <w:rPr>
          <w:rFonts w:ascii="Arial" w:hAnsi="Arial" w:cs="Arial"/>
          <w:sz w:val="24"/>
          <w:szCs w:val="24"/>
        </w:rPr>
        <w:t xml:space="preserve">constitucionalmente válida a favor de los grupos </w:t>
      </w:r>
      <w:r w:rsidR="0033783A">
        <w:rPr>
          <w:rFonts w:ascii="Arial" w:hAnsi="Arial" w:cs="Arial"/>
          <w:sz w:val="24"/>
          <w:szCs w:val="24"/>
        </w:rPr>
        <w:t>en situación de vulnerabilidad</w:t>
      </w:r>
      <w:r w:rsidR="005F574E">
        <w:rPr>
          <w:rFonts w:ascii="Arial" w:hAnsi="Arial" w:cs="Arial"/>
          <w:sz w:val="24"/>
          <w:szCs w:val="24"/>
        </w:rPr>
        <w:t xml:space="preserve"> </w:t>
      </w:r>
      <w:r w:rsidR="002E2443">
        <w:rPr>
          <w:rFonts w:ascii="Arial" w:hAnsi="Arial" w:cs="Arial"/>
          <w:sz w:val="24"/>
          <w:szCs w:val="24"/>
        </w:rPr>
        <w:t>que fuera aplicable para el proceso electoral en curso</w:t>
      </w:r>
      <w:r w:rsidR="001F17C5">
        <w:rPr>
          <w:rFonts w:ascii="Arial" w:hAnsi="Arial" w:cs="Arial"/>
          <w:sz w:val="24"/>
          <w:szCs w:val="24"/>
        </w:rPr>
        <w:t>,</w:t>
      </w:r>
      <w:r w:rsidR="002E2443">
        <w:rPr>
          <w:rFonts w:ascii="Arial" w:hAnsi="Arial" w:cs="Arial"/>
          <w:sz w:val="24"/>
          <w:szCs w:val="24"/>
        </w:rPr>
        <w:t xml:space="preserve"> l</w:t>
      </w:r>
      <w:r w:rsidR="002F2EED">
        <w:rPr>
          <w:rFonts w:ascii="Arial" w:hAnsi="Arial" w:cs="Arial"/>
          <w:sz w:val="24"/>
          <w:szCs w:val="24"/>
        </w:rPr>
        <w:t>a</w:t>
      </w:r>
      <w:r w:rsidR="002E2443">
        <w:rPr>
          <w:rFonts w:ascii="Arial" w:hAnsi="Arial" w:cs="Arial"/>
          <w:sz w:val="24"/>
          <w:szCs w:val="24"/>
        </w:rPr>
        <w:t xml:space="preserve"> cual debía emitir</w:t>
      </w:r>
      <w:r w:rsidR="002F2EED">
        <w:rPr>
          <w:rFonts w:ascii="Arial" w:hAnsi="Arial" w:cs="Arial"/>
          <w:sz w:val="24"/>
          <w:szCs w:val="24"/>
        </w:rPr>
        <w:t>la</w:t>
      </w:r>
      <w:r w:rsidR="002E2443">
        <w:rPr>
          <w:rFonts w:ascii="Arial" w:hAnsi="Arial" w:cs="Arial"/>
          <w:sz w:val="24"/>
          <w:szCs w:val="24"/>
        </w:rPr>
        <w:t xml:space="preserve"> </w:t>
      </w:r>
      <w:r w:rsidR="005F574E">
        <w:rPr>
          <w:rFonts w:ascii="Arial" w:hAnsi="Arial" w:cs="Arial"/>
          <w:sz w:val="24"/>
          <w:szCs w:val="24"/>
        </w:rPr>
        <w:t>en un plazo de 8 días</w:t>
      </w:r>
      <w:r w:rsidR="002E2443">
        <w:rPr>
          <w:rFonts w:ascii="Arial" w:hAnsi="Arial" w:cs="Arial"/>
          <w:sz w:val="24"/>
          <w:szCs w:val="24"/>
        </w:rPr>
        <w:t>.</w:t>
      </w:r>
    </w:p>
    <w:p w14:paraId="7F9D328C" w14:textId="77777777" w:rsidR="004B5376" w:rsidRPr="00D21369" w:rsidRDefault="004B5376" w:rsidP="00D21369">
      <w:pPr>
        <w:pStyle w:val="Sinespaciado"/>
      </w:pPr>
    </w:p>
    <w:p w14:paraId="2325E3B4" w14:textId="5C89E2F7" w:rsidR="004B5376" w:rsidRPr="00795B97" w:rsidRDefault="005D1F8A" w:rsidP="00795B97">
      <w:pPr>
        <w:pStyle w:val="Prrafodelista"/>
        <w:numPr>
          <w:ilvl w:val="0"/>
          <w:numId w:val="6"/>
        </w:numPr>
        <w:spacing w:line="360" w:lineRule="auto"/>
        <w:ind w:left="0" w:firstLine="0"/>
        <w:jc w:val="both"/>
        <w:rPr>
          <w:rFonts w:ascii="Arial" w:hAnsi="Arial" w:cs="Arial"/>
          <w:b/>
          <w:bCs/>
          <w:sz w:val="24"/>
          <w:szCs w:val="24"/>
        </w:rPr>
      </w:pPr>
      <w:r w:rsidRPr="00795B97">
        <w:rPr>
          <w:rFonts w:ascii="Arial" w:hAnsi="Arial" w:cs="Arial"/>
          <w:b/>
          <w:bCs/>
          <w:sz w:val="24"/>
          <w:szCs w:val="24"/>
        </w:rPr>
        <w:t xml:space="preserve">Acuerdo </w:t>
      </w:r>
      <w:r w:rsidR="00B949D8">
        <w:rPr>
          <w:rFonts w:ascii="Arial" w:hAnsi="Arial" w:cs="Arial"/>
          <w:b/>
          <w:bCs/>
          <w:sz w:val="24"/>
          <w:szCs w:val="24"/>
        </w:rPr>
        <w:t>(</w:t>
      </w:r>
      <w:r w:rsidRPr="00795B97">
        <w:rPr>
          <w:rFonts w:ascii="Arial" w:hAnsi="Arial" w:cs="Arial"/>
          <w:b/>
          <w:bCs/>
          <w:sz w:val="24"/>
          <w:szCs w:val="24"/>
        </w:rPr>
        <w:t>CG-A-26/2021</w:t>
      </w:r>
      <w:r w:rsidR="00B949D8">
        <w:rPr>
          <w:rFonts w:ascii="Arial" w:hAnsi="Arial" w:cs="Arial"/>
          <w:b/>
          <w:bCs/>
          <w:sz w:val="24"/>
          <w:szCs w:val="24"/>
        </w:rPr>
        <w:t>)</w:t>
      </w:r>
      <w:r w:rsidRPr="00795B97">
        <w:rPr>
          <w:rFonts w:ascii="Arial" w:hAnsi="Arial" w:cs="Arial"/>
          <w:b/>
          <w:bCs/>
          <w:sz w:val="24"/>
          <w:szCs w:val="24"/>
        </w:rPr>
        <w:t xml:space="preserve">. </w:t>
      </w:r>
      <w:r w:rsidRPr="00795B97">
        <w:rPr>
          <w:rFonts w:ascii="Arial" w:hAnsi="Arial" w:cs="Arial"/>
          <w:sz w:val="24"/>
          <w:szCs w:val="24"/>
        </w:rPr>
        <w:t>El 26 de febrero, en cumplimiento a lo ordenado por Sala Monterrey, el Instituto local emitió el acuerdo en el que e</w:t>
      </w:r>
      <w:r w:rsidR="002F2EED">
        <w:rPr>
          <w:rFonts w:ascii="Arial" w:hAnsi="Arial" w:cs="Arial"/>
          <w:sz w:val="24"/>
          <w:szCs w:val="24"/>
        </w:rPr>
        <w:t>stableció</w:t>
      </w:r>
      <w:r w:rsidRPr="00795B97">
        <w:rPr>
          <w:rFonts w:ascii="Arial" w:hAnsi="Arial" w:cs="Arial"/>
          <w:sz w:val="24"/>
          <w:szCs w:val="24"/>
        </w:rPr>
        <w:t xml:space="preserve"> los lineamientos que contienen las cuotas en favor de las personas de la comunidad LGBTI</w:t>
      </w:r>
      <w:r w:rsidR="0033783A">
        <w:rPr>
          <w:rFonts w:ascii="Arial" w:hAnsi="Arial" w:cs="Arial"/>
          <w:sz w:val="24"/>
          <w:szCs w:val="24"/>
        </w:rPr>
        <w:t>Q</w:t>
      </w:r>
      <w:r w:rsidRPr="00795B97">
        <w:rPr>
          <w:rFonts w:ascii="Arial" w:hAnsi="Arial" w:cs="Arial"/>
          <w:sz w:val="24"/>
          <w:szCs w:val="24"/>
        </w:rPr>
        <w:t>+ y de las personas con alguna discapacidad.</w:t>
      </w:r>
    </w:p>
    <w:p w14:paraId="082359BF" w14:textId="77777777" w:rsidR="005D1F8A" w:rsidRPr="00D21369" w:rsidRDefault="005D1F8A" w:rsidP="00D21369">
      <w:pPr>
        <w:pStyle w:val="Sinespaciado"/>
      </w:pPr>
    </w:p>
    <w:p w14:paraId="4C021D1A" w14:textId="35DDA677" w:rsidR="005D1F8A" w:rsidRPr="00795B97" w:rsidRDefault="005D1F8A" w:rsidP="00795B97">
      <w:pPr>
        <w:pStyle w:val="Prrafodelista"/>
        <w:numPr>
          <w:ilvl w:val="0"/>
          <w:numId w:val="6"/>
        </w:numPr>
        <w:spacing w:line="360" w:lineRule="auto"/>
        <w:ind w:left="0" w:firstLine="0"/>
        <w:jc w:val="both"/>
        <w:rPr>
          <w:rFonts w:ascii="Arial" w:hAnsi="Arial" w:cs="Arial"/>
          <w:b/>
          <w:bCs/>
          <w:sz w:val="24"/>
          <w:szCs w:val="24"/>
        </w:rPr>
      </w:pPr>
      <w:r w:rsidRPr="00795B97">
        <w:rPr>
          <w:rFonts w:ascii="Arial" w:hAnsi="Arial" w:cs="Arial"/>
          <w:b/>
          <w:bCs/>
          <w:sz w:val="24"/>
          <w:szCs w:val="24"/>
        </w:rPr>
        <w:t xml:space="preserve">Juicios ciudadanos. </w:t>
      </w:r>
      <w:r w:rsidRPr="00795B97">
        <w:rPr>
          <w:rFonts w:ascii="Arial" w:hAnsi="Arial" w:cs="Arial"/>
          <w:sz w:val="24"/>
          <w:szCs w:val="24"/>
        </w:rPr>
        <w:t>El 28 de febrero y 2 de marzo, la ciudadana Salma Luévano Luna, integrante de la comunidad LGBTI</w:t>
      </w:r>
      <w:r w:rsidR="0033783A">
        <w:rPr>
          <w:rFonts w:ascii="Arial" w:hAnsi="Arial" w:cs="Arial"/>
          <w:sz w:val="24"/>
          <w:szCs w:val="24"/>
        </w:rPr>
        <w:t>Q</w:t>
      </w:r>
      <w:r w:rsidRPr="00795B97">
        <w:rPr>
          <w:rFonts w:ascii="Arial" w:hAnsi="Arial" w:cs="Arial"/>
          <w:sz w:val="24"/>
          <w:szCs w:val="24"/>
        </w:rPr>
        <w:t xml:space="preserve">+ y Néstor Armando Camacho Mauricio, persona con discapacidad, </w:t>
      </w:r>
      <w:r w:rsidR="00B949D8">
        <w:rPr>
          <w:rFonts w:ascii="Arial" w:hAnsi="Arial" w:cs="Arial"/>
          <w:sz w:val="24"/>
          <w:szCs w:val="24"/>
        </w:rPr>
        <w:t xml:space="preserve">respectivamente, </w:t>
      </w:r>
      <w:r w:rsidRPr="00795B97">
        <w:rPr>
          <w:rFonts w:ascii="Arial" w:hAnsi="Arial" w:cs="Arial"/>
          <w:sz w:val="24"/>
          <w:szCs w:val="24"/>
        </w:rPr>
        <w:t xml:space="preserve">impugnaron el referido acuerdo, porque consideraron que el Instituto local </w:t>
      </w:r>
      <w:r w:rsidR="003B3C97" w:rsidRPr="00795B97">
        <w:rPr>
          <w:rFonts w:ascii="Arial" w:hAnsi="Arial" w:cs="Arial"/>
          <w:sz w:val="24"/>
          <w:szCs w:val="24"/>
        </w:rPr>
        <w:t xml:space="preserve">realizó una interpretación restrictiva y limitada al establecer una cuota mixta. </w:t>
      </w:r>
    </w:p>
    <w:p w14:paraId="2877FA78" w14:textId="77777777" w:rsidR="00054D63" w:rsidRPr="00D21369" w:rsidRDefault="00054D63" w:rsidP="00D21369">
      <w:pPr>
        <w:pStyle w:val="Sinespaciado"/>
      </w:pPr>
    </w:p>
    <w:p w14:paraId="0FA80512" w14:textId="3C121B77" w:rsidR="003B3C97" w:rsidRPr="00795B97" w:rsidRDefault="00D21369" w:rsidP="00795B97">
      <w:pPr>
        <w:spacing w:line="360" w:lineRule="auto"/>
        <w:jc w:val="both"/>
        <w:rPr>
          <w:rFonts w:ascii="Arial" w:hAnsi="Arial" w:cs="Arial"/>
          <w:sz w:val="24"/>
          <w:szCs w:val="24"/>
        </w:rPr>
      </w:pPr>
      <w:r>
        <w:rPr>
          <w:rFonts w:ascii="Arial" w:hAnsi="Arial" w:cs="Arial"/>
          <w:b/>
          <w:bCs/>
          <w:sz w:val="24"/>
          <w:szCs w:val="24"/>
        </w:rPr>
        <w:t>7</w:t>
      </w:r>
      <w:r w:rsidR="00054D63" w:rsidRPr="00795B97">
        <w:rPr>
          <w:rFonts w:ascii="Arial" w:hAnsi="Arial" w:cs="Arial"/>
          <w:b/>
          <w:bCs/>
          <w:sz w:val="24"/>
          <w:szCs w:val="24"/>
        </w:rPr>
        <w:t xml:space="preserve">. Turno, radicación, admisión y cierre de instrucción. </w:t>
      </w:r>
      <w:r w:rsidR="00054D63" w:rsidRPr="00795B97">
        <w:rPr>
          <w:rFonts w:ascii="Arial" w:hAnsi="Arial" w:cs="Arial"/>
          <w:sz w:val="24"/>
          <w:szCs w:val="24"/>
        </w:rPr>
        <w:t xml:space="preserve">El </w:t>
      </w:r>
      <w:r w:rsidR="003B3C97" w:rsidRPr="00795B97">
        <w:rPr>
          <w:rFonts w:ascii="Arial" w:hAnsi="Arial" w:cs="Arial"/>
          <w:sz w:val="24"/>
          <w:szCs w:val="24"/>
        </w:rPr>
        <w:t xml:space="preserve">5 y </w:t>
      </w:r>
      <w:r w:rsidR="00271087">
        <w:rPr>
          <w:rFonts w:ascii="Arial" w:hAnsi="Arial" w:cs="Arial"/>
          <w:sz w:val="24"/>
          <w:szCs w:val="24"/>
        </w:rPr>
        <w:t>7</w:t>
      </w:r>
      <w:r w:rsidR="00E97908">
        <w:rPr>
          <w:rFonts w:ascii="Arial" w:hAnsi="Arial" w:cs="Arial"/>
          <w:sz w:val="24"/>
          <w:szCs w:val="24"/>
        </w:rPr>
        <w:t xml:space="preserve"> </w:t>
      </w:r>
      <w:r w:rsidR="00054D63" w:rsidRPr="00795B97">
        <w:rPr>
          <w:rFonts w:ascii="Arial" w:hAnsi="Arial" w:cs="Arial"/>
          <w:sz w:val="24"/>
          <w:szCs w:val="24"/>
        </w:rPr>
        <w:t xml:space="preserve">de </w:t>
      </w:r>
      <w:r w:rsidR="00271087">
        <w:rPr>
          <w:rFonts w:ascii="Arial" w:hAnsi="Arial" w:cs="Arial"/>
          <w:sz w:val="24"/>
          <w:szCs w:val="24"/>
        </w:rPr>
        <w:t>marzo</w:t>
      </w:r>
      <w:r w:rsidR="00054D63" w:rsidRPr="00795B97">
        <w:rPr>
          <w:rFonts w:ascii="Arial" w:hAnsi="Arial" w:cs="Arial"/>
          <w:sz w:val="24"/>
          <w:szCs w:val="24"/>
        </w:rPr>
        <w:t>, se registr</w:t>
      </w:r>
      <w:r w:rsidR="003B3C97" w:rsidRPr="00795B97">
        <w:rPr>
          <w:rFonts w:ascii="Arial" w:hAnsi="Arial" w:cs="Arial"/>
          <w:sz w:val="24"/>
          <w:szCs w:val="24"/>
        </w:rPr>
        <w:t>aron</w:t>
      </w:r>
      <w:r w:rsidR="00054D63" w:rsidRPr="00795B97">
        <w:rPr>
          <w:rFonts w:ascii="Arial" w:hAnsi="Arial" w:cs="Arial"/>
          <w:sz w:val="24"/>
          <w:szCs w:val="24"/>
        </w:rPr>
        <w:t xml:space="preserve"> con el número de expediente TEEA-JDC-0</w:t>
      </w:r>
      <w:r w:rsidR="003B3C97" w:rsidRPr="00795B97">
        <w:rPr>
          <w:rFonts w:ascii="Arial" w:hAnsi="Arial" w:cs="Arial"/>
          <w:sz w:val="24"/>
          <w:szCs w:val="24"/>
        </w:rPr>
        <w:t>16</w:t>
      </w:r>
      <w:r w:rsidR="00054D63" w:rsidRPr="00795B97">
        <w:rPr>
          <w:rFonts w:ascii="Arial" w:hAnsi="Arial" w:cs="Arial"/>
          <w:sz w:val="24"/>
          <w:szCs w:val="24"/>
        </w:rPr>
        <w:t xml:space="preserve">/2021 </w:t>
      </w:r>
      <w:r w:rsidR="003B3C97" w:rsidRPr="00795B97">
        <w:rPr>
          <w:rFonts w:ascii="Arial" w:hAnsi="Arial" w:cs="Arial"/>
          <w:sz w:val="24"/>
          <w:szCs w:val="24"/>
        </w:rPr>
        <w:t>y TEEA-JDC-0</w:t>
      </w:r>
      <w:r w:rsidR="003B3C97" w:rsidRPr="00E97908">
        <w:rPr>
          <w:rFonts w:ascii="Arial" w:hAnsi="Arial" w:cs="Arial"/>
          <w:sz w:val="24"/>
          <w:szCs w:val="24"/>
        </w:rPr>
        <w:t>1</w:t>
      </w:r>
      <w:r w:rsidR="006A41DE" w:rsidRPr="00E97908">
        <w:rPr>
          <w:rFonts w:ascii="Arial" w:hAnsi="Arial" w:cs="Arial"/>
          <w:sz w:val="24"/>
          <w:szCs w:val="24"/>
        </w:rPr>
        <w:t>8</w:t>
      </w:r>
      <w:r w:rsidR="003B3C97" w:rsidRPr="00795B97">
        <w:rPr>
          <w:rFonts w:ascii="Arial" w:hAnsi="Arial" w:cs="Arial"/>
          <w:sz w:val="24"/>
          <w:szCs w:val="24"/>
        </w:rPr>
        <w:t>/2021</w:t>
      </w:r>
      <w:r w:rsidR="00271087">
        <w:rPr>
          <w:rFonts w:ascii="Arial" w:hAnsi="Arial" w:cs="Arial"/>
          <w:sz w:val="24"/>
          <w:szCs w:val="24"/>
        </w:rPr>
        <w:t>, respectivamente,</w:t>
      </w:r>
      <w:r w:rsidR="003B3C97" w:rsidRPr="00795B97">
        <w:rPr>
          <w:rFonts w:ascii="Arial" w:hAnsi="Arial" w:cs="Arial"/>
          <w:sz w:val="24"/>
          <w:szCs w:val="24"/>
        </w:rPr>
        <w:t xml:space="preserve"> </w:t>
      </w:r>
      <w:r w:rsidR="00054D63" w:rsidRPr="00795B97">
        <w:rPr>
          <w:rFonts w:ascii="Arial" w:hAnsi="Arial" w:cs="Arial"/>
          <w:sz w:val="24"/>
          <w:szCs w:val="24"/>
        </w:rPr>
        <w:t>y fue</w:t>
      </w:r>
      <w:r w:rsidR="003B3C97" w:rsidRPr="00795B97">
        <w:rPr>
          <w:rFonts w:ascii="Arial" w:hAnsi="Arial" w:cs="Arial"/>
          <w:sz w:val="24"/>
          <w:szCs w:val="24"/>
        </w:rPr>
        <w:t>ron</w:t>
      </w:r>
      <w:r w:rsidR="00054D63" w:rsidRPr="00795B97">
        <w:rPr>
          <w:rFonts w:ascii="Arial" w:hAnsi="Arial" w:cs="Arial"/>
          <w:sz w:val="24"/>
          <w:szCs w:val="24"/>
        </w:rPr>
        <w:t xml:space="preserve"> turnado</w:t>
      </w:r>
      <w:r w:rsidR="003B3C97" w:rsidRPr="00795B97">
        <w:rPr>
          <w:rFonts w:ascii="Arial" w:hAnsi="Arial" w:cs="Arial"/>
          <w:sz w:val="24"/>
          <w:szCs w:val="24"/>
        </w:rPr>
        <w:t>s</w:t>
      </w:r>
      <w:r w:rsidR="00054D63" w:rsidRPr="00795B97">
        <w:rPr>
          <w:rFonts w:ascii="Arial" w:hAnsi="Arial" w:cs="Arial"/>
          <w:sz w:val="24"/>
          <w:szCs w:val="24"/>
        </w:rPr>
        <w:t xml:space="preserve"> a la Ponen</w:t>
      </w:r>
      <w:r w:rsidR="006944F2">
        <w:rPr>
          <w:rFonts w:ascii="Arial" w:hAnsi="Arial" w:cs="Arial"/>
          <w:sz w:val="24"/>
          <w:szCs w:val="24"/>
        </w:rPr>
        <w:t>cia de la Magistrada Laura Hortensia Llamas Hernández</w:t>
      </w:r>
      <w:r w:rsidR="00054D63" w:rsidRPr="00795B97">
        <w:rPr>
          <w:rFonts w:ascii="Arial" w:hAnsi="Arial" w:cs="Arial"/>
          <w:sz w:val="24"/>
          <w:szCs w:val="24"/>
        </w:rPr>
        <w:t>, quien en su oportunidad</w:t>
      </w:r>
      <w:r w:rsidR="003B3C97" w:rsidRPr="00795B97">
        <w:rPr>
          <w:rFonts w:ascii="Arial" w:hAnsi="Arial" w:cs="Arial"/>
          <w:sz w:val="24"/>
          <w:szCs w:val="24"/>
        </w:rPr>
        <w:t xml:space="preserve"> los</w:t>
      </w:r>
      <w:r w:rsidR="00054D63" w:rsidRPr="00795B97">
        <w:rPr>
          <w:rFonts w:ascii="Arial" w:hAnsi="Arial" w:cs="Arial"/>
          <w:sz w:val="24"/>
          <w:szCs w:val="24"/>
        </w:rPr>
        <w:t xml:space="preserve"> radicó, admitió y al no existir trámite</w:t>
      </w:r>
      <w:r w:rsidR="003B3C97" w:rsidRPr="00795B97">
        <w:rPr>
          <w:rFonts w:ascii="Arial" w:hAnsi="Arial" w:cs="Arial"/>
          <w:sz w:val="24"/>
          <w:szCs w:val="24"/>
        </w:rPr>
        <w:t>s</w:t>
      </w:r>
      <w:r w:rsidR="00054D63" w:rsidRPr="00795B97">
        <w:rPr>
          <w:rFonts w:ascii="Arial" w:hAnsi="Arial" w:cs="Arial"/>
          <w:sz w:val="24"/>
          <w:szCs w:val="24"/>
        </w:rPr>
        <w:t xml:space="preserve"> pendiente</w:t>
      </w:r>
      <w:r w:rsidR="003B3C97" w:rsidRPr="00795B97">
        <w:rPr>
          <w:rFonts w:ascii="Arial" w:hAnsi="Arial" w:cs="Arial"/>
          <w:sz w:val="24"/>
          <w:szCs w:val="24"/>
        </w:rPr>
        <w:t>s</w:t>
      </w:r>
      <w:r w:rsidR="00054D63" w:rsidRPr="00795B97">
        <w:rPr>
          <w:rFonts w:ascii="Arial" w:hAnsi="Arial" w:cs="Arial"/>
          <w:sz w:val="24"/>
          <w:szCs w:val="24"/>
        </w:rPr>
        <w:t xml:space="preserve"> por realizar, ordenó el cierre de instrucción</w:t>
      </w:r>
      <w:r w:rsidR="003B3C97" w:rsidRPr="00795B97">
        <w:rPr>
          <w:rFonts w:ascii="Arial" w:hAnsi="Arial" w:cs="Arial"/>
          <w:sz w:val="24"/>
          <w:szCs w:val="24"/>
        </w:rPr>
        <w:t>.</w:t>
      </w:r>
    </w:p>
    <w:p w14:paraId="31352EB3" w14:textId="77777777" w:rsidR="003B3C97" w:rsidRPr="00795B97" w:rsidRDefault="003B3C97" w:rsidP="00500D98">
      <w:pPr>
        <w:pStyle w:val="Sinespaciado"/>
      </w:pPr>
    </w:p>
    <w:p w14:paraId="33E21B47" w14:textId="5952B0E1" w:rsidR="00054D63" w:rsidRPr="00795B97" w:rsidRDefault="00054D63" w:rsidP="00795B97">
      <w:pPr>
        <w:pStyle w:val="Ttulo1"/>
        <w:numPr>
          <w:ilvl w:val="0"/>
          <w:numId w:val="2"/>
        </w:numPr>
        <w:spacing w:before="0" w:beforeAutospacing="0" w:after="0" w:afterAutospacing="0"/>
        <w:ind w:left="426" w:hanging="426"/>
        <w:jc w:val="left"/>
        <w:rPr>
          <w:rFonts w:eastAsia="BatangChe" w:cs="Arial"/>
          <w:szCs w:val="24"/>
        </w:rPr>
      </w:pPr>
      <w:bookmarkStart w:id="5" w:name="_Toc65238644"/>
      <w:r w:rsidRPr="00795B97">
        <w:rPr>
          <w:rFonts w:eastAsia="Times New Roman" w:cs="Arial"/>
          <w:szCs w:val="24"/>
        </w:rPr>
        <w:lastRenderedPageBreak/>
        <w:t>C</w:t>
      </w:r>
      <w:r w:rsidR="00371850" w:rsidRPr="00795B97">
        <w:rPr>
          <w:rFonts w:eastAsia="Times New Roman" w:cs="Arial"/>
          <w:caps w:val="0"/>
          <w:szCs w:val="24"/>
        </w:rPr>
        <w:t>ompetencia</w:t>
      </w:r>
      <w:bookmarkEnd w:id="5"/>
      <w:r w:rsidR="00371850" w:rsidRPr="00795B97">
        <w:rPr>
          <w:rFonts w:eastAsia="Times New Roman" w:cs="Arial"/>
          <w:caps w:val="0"/>
          <w:szCs w:val="24"/>
        </w:rPr>
        <w:t xml:space="preserve"> </w:t>
      </w:r>
    </w:p>
    <w:p w14:paraId="043D2F0A" w14:textId="77777777" w:rsidR="00054D63" w:rsidRPr="00271087" w:rsidRDefault="00054D63" w:rsidP="00271087">
      <w:pPr>
        <w:pStyle w:val="Sinespaciado"/>
      </w:pPr>
    </w:p>
    <w:p w14:paraId="3A42479C" w14:textId="6DEB60BA" w:rsidR="00054D63" w:rsidRPr="00795B97" w:rsidRDefault="00054D63" w:rsidP="00795B97">
      <w:pPr>
        <w:spacing w:line="360" w:lineRule="auto"/>
        <w:jc w:val="both"/>
        <w:rPr>
          <w:rFonts w:ascii="Arial" w:hAnsi="Arial" w:cs="Arial"/>
          <w:sz w:val="24"/>
          <w:szCs w:val="24"/>
          <w:lang w:val="es-ES_tradnl"/>
        </w:rPr>
      </w:pPr>
      <w:r w:rsidRPr="00795B97">
        <w:rPr>
          <w:rFonts w:ascii="Arial" w:hAnsi="Arial" w:cs="Arial"/>
          <w:sz w:val="24"/>
          <w:szCs w:val="24"/>
          <w:lang w:val="es-ES_tradnl"/>
        </w:rPr>
        <w:t>Este Tribunal es competente para conocer y resolver l</w:t>
      </w:r>
      <w:r w:rsidR="003B3C97" w:rsidRPr="00795B97">
        <w:rPr>
          <w:rFonts w:ascii="Arial" w:hAnsi="Arial" w:cs="Arial"/>
          <w:sz w:val="24"/>
          <w:szCs w:val="24"/>
          <w:lang w:val="es-ES_tradnl"/>
        </w:rPr>
        <w:t>os</w:t>
      </w:r>
      <w:r w:rsidRPr="00795B97">
        <w:rPr>
          <w:rFonts w:ascii="Arial" w:hAnsi="Arial" w:cs="Arial"/>
          <w:sz w:val="24"/>
          <w:szCs w:val="24"/>
          <w:lang w:val="es-ES_tradnl"/>
        </w:rPr>
        <w:t xml:space="preserve"> presente</w:t>
      </w:r>
      <w:r w:rsidR="003B3C97" w:rsidRPr="00795B97">
        <w:rPr>
          <w:rFonts w:ascii="Arial" w:hAnsi="Arial" w:cs="Arial"/>
          <w:sz w:val="24"/>
          <w:szCs w:val="24"/>
          <w:lang w:val="es-ES_tradnl"/>
        </w:rPr>
        <w:t>s</w:t>
      </w:r>
      <w:r w:rsidRPr="00795B97">
        <w:rPr>
          <w:rFonts w:ascii="Arial" w:hAnsi="Arial" w:cs="Arial"/>
          <w:sz w:val="24"/>
          <w:szCs w:val="24"/>
          <w:lang w:val="es-ES_tradnl"/>
        </w:rPr>
        <w:t xml:space="preserve"> juicio</w:t>
      </w:r>
      <w:r w:rsidR="003B3C97" w:rsidRPr="00795B97">
        <w:rPr>
          <w:rFonts w:ascii="Arial" w:hAnsi="Arial" w:cs="Arial"/>
          <w:sz w:val="24"/>
          <w:szCs w:val="24"/>
          <w:lang w:val="es-ES_tradnl"/>
        </w:rPr>
        <w:t>s</w:t>
      </w:r>
      <w:r w:rsidRPr="00795B97">
        <w:rPr>
          <w:rFonts w:ascii="Arial" w:hAnsi="Arial" w:cs="Arial"/>
          <w:sz w:val="24"/>
          <w:szCs w:val="24"/>
          <w:lang w:val="es-ES_tradnl"/>
        </w:rPr>
        <w:t xml:space="preserve">, por tratarse de </w:t>
      </w:r>
      <w:r w:rsidR="003B3C97" w:rsidRPr="00795B97">
        <w:rPr>
          <w:rFonts w:ascii="Arial" w:hAnsi="Arial" w:cs="Arial"/>
          <w:sz w:val="24"/>
          <w:szCs w:val="24"/>
          <w:lang w:val="es-ES_tradnl"/>
        </w:rPr>
        <w:t>medios</w:t>
      </w:r>
      <w:r w:rsidRPr="00795B97">
        <w:rPr>
          <w:rFonts w:ascii="Arial" w:hAnsi="Arial" w:cs="Arial"/>
          <w:sz w:val="24"/>
          <w:szCs w:val="24"/>
          <w:lang w:val="es-ES_tradnl"/>
        </w:rPr>
        <w:t xml:space="preserve"> de impugnación promovido</w:t>
      </w:r>
      <w:r w:rsidR="003B3C97" w:rsidRPr="00795B97">
        <w:rPr>
          <w:rFonts w:ascii="Arial" w:hAnsi="Arial" w:cs="Arial"/>
          <w:sz w:val="24"/>
          <w:szCs w:val="24"/>
          <w:lang w:val="es-ES_tradnl"/>
        </w:rPr>
        <w:t>s</w:t>
      </w:r>
      <w:r w:rsidRPr="00795B97">
        <w:rPr>
          <w:rFonts w:ascii="Arial" w:hAnsi="Arial" w:cs="Arial"/>
          <w:sz w:val="24"/>
          <w:szCs w:val="24"/>
          <w:lang w:val="es-ES_tradnl"/>
        </w:rPr>
        <w:t xml:space="preserve"> por </w:t>
      </w:r>
      <w:r w:rsidR="003B3C97" w:rsidRPr="00795B97">
        <w:rPr>
          <w:rFonts w:ascii="Arial" w:hAnsi="Arial" w:cs="Arial"/>
          <w:sz w:val="24"/>
          <w:szCs w:val="24"/>
          <w:lang w:val="es-ES_tradnl"/>
        </w:rPr>
        <w:t>Salma Luévano Luna, perteneciente a la comunidad LGBTI</w:t>
      </w:r>
      <w:r w:rsidR="0033783A">
        <w:rPr>
          <w:rFonts w:ascii="Arial" w:hAnsi="Arial" w:cs="Arial"/>
          <w:sz w:val="24"/>
          <w:szCs w:val="24"/>
          <w:lang w:val="es-ES_tradnl"/>
        </w:rPr>
        <w:t>Q</w:t>
      </w:r>
      <w:r w:rsidR="003B3C97" w:rsidRPr="00795B97">
        <w:rPr>
          <w:rFonts w:ascii="Arial" w:hAnsi="Arial" w:cs="Arial"/>
          <w:sz w:val="24"/>
          <w:szCs w:val="24"/>
          <w:lang w:val="es-ES_tradnl"/>
        </w:rPr>
        <w:t xml:space="preserve">+ y Néstor Armando Camacho Mauricio, persona con discapacidad, ambos </w:t>
      </w:r>
      <w:r w:rsidR="005F574E">
        <w:rPr>
          <w:rFonts w:ascii="Arial" w:hAnsi="Arial" w:cs="Arial"/>
          <w:sz w:val="24"/>
          <w:szCs w:val="24"/>
          <w:lang w:val="es-ES_tradnl"/>
        </w:rPr>
        <w:t xml:space="preserve">en su carácter de </w:t>
      </w:r>
      <w:r w:rsidR="003B3C97" w:rsidRPr="00795B97">
        <w:rPr>
          <w:rFonts w:ascii="Arial" w:hAnsi="Arial" w:cs="Arial"/>
          <w:sz w:val="24"/>
          <w:szCs w:val="24"/>
          <w:lang w:val="es-ES_tradnl"/>
        </w:rPr>
        <w:t>aspirantes a candidaturas de diputaciones, en contra de un acuerdo del Instituto</w:t>
      </w:r>
      <w:r w:rsidR="005F574E">
        <w:rPr>
          <w:rFonts w:ascii="Arial" w:hAnsi="Arial" w:cs="Arial"/>
          <w:sz w:val="24"/>
          <w:szCs w:val="24"/>
          <w:lang w:val="es-ES_tradnl"/>
        </w:rPr>
        <w:t xml:space="preserve"> local que estableció</w:t>
      </w:r>
      <w:r w:rsidR="00C914C7" w:rsidRPr="00795B97">
        <w:rPr>
          <w:rFonts w:ascii="Arial" w:hAnsi="Arial" w:cs="Arial"/>
          <w:sz w:val="24"/>
          <w:szCs w:val="24"/>
          <w:lang w:val="es-ES_tradnl"/>
        </w:rPr>
        <w:t xml:space="preserve"> los lineamientos </w:t>
      </w:r>
      <w:r w:rsidR="005F574E">
        <w:rPr>
          <w:rFonts w:ascii="Arial" w:hAnsi="Arial" w:cs="Arial"/>
          <w:sz w:val="24"/>
          <w:szCs w:val="24"/>
          <w:lang w:val="es-ES_tradnl"/>
        </w:rPr>
        <w:t xml:space="preserve">sobre las </w:t>
      </w:r>
      <w:r w:rsidR="00C914C7" w:rsidRPr="00795B97">
        <w:rPr>
          <w:rFonts w:ascii="Arial" w:hAnsi="Arial" w:cs="Arial"/>
          <w:sz w:val="24"/>
          <w:szCs w:val="24"/>
          <w:lang w:val="es-ES_tradnl"/>
        </w:rPr>
        <w:t>cuota</w:t>
      </w:r>
      <w:r w:rsidR="005F574E">
        <w:rPr>
          <w:rFonts w:ascii="Arial" w:hAnsi="Arial" w:cs="Arial"/>
          <w:sz w:val="24"/>
          <w:szCs w:val="24"/>
          <w:lang w:val="es-ES_tradnl"/>
        </w:rPr>
        <w:t>s</w:t>
      </w:r>
      <w:r w:rsidR="00C914C7" w:rsidRPr="00795B97">
        <w:rPr>
          <w:rFonts w:ascii="Arial" w:hAnsi="Arial" w:cs="Arial"/>
          <w:sz w:val="24"/>
          <w:szCs w:val="24"/>
          <w:lang w:val="es-ES_tradnl"/>
        </w:rPr>
        <w:t xml:space="preserve"> en </w:t>
      </w:r>
      <w:r w:rsidR="003B3C97" w:rsidRPr="00795B97">
        <w:rPr>
          <w:rFonts w:ascii="Arial" w:hAnsi="Arial" w:cs="Arial"/>
          <w:sz w:val="24"/>
          <w:szCs w:val="24"/>
          <w:lang w:val="es-ES_tradnl"/>
        </w:rPr>
        <w:t>favor de esos grupos</w:t>
      </w:r>
      <w:r w:rsidR="00C914C7" w:rsidRPr="00795B97">
        <w:rPr>
          <w:rFonts w:ascii="Arial" w:hAnsi="Arial" w:cs="Arial"/>
          <w:sz w:val="24"/>
          <w:szCs w:val="24"/>
          <w:lang w:val="es-ES_tradnl"/>
        </w:rPr>
        <w:t xml:space="preserve">. </w:t>
      </w:r>
      <w:r w:rsidRPr="00795B97">
        <w:rPr>
          <w:rFonts w:ascii="Arial" w:hAnsi="Arial" w:cs="Arial"/>
          <w:sz w:val="24"/>
          <w:szCs w:val="24"/>
          <w:lang w:val="es-ES_tradnl"/>
        </w:rPr>
        <w:t>Lo anterior</w:t>
      </w:r>
      <w:r w:rsidR="005F574E">
        <w:rPr>
          <w:rFonts w:ascii="Arial" w:hAnsi="Arial" w:cs="Arial"/>
          <w:sz w:val="24"/>
          <w:szCs w:val="24"/>
          <w:lang w:val="es-ES_tradnl"/>
        </w:rPr>
        <w:t>,</w:t>
      </w:r>
      <w:r w:rsidRPr="00795B97">
        <w:rPr>
          <w:rFonts w:ascii="Arial" w:hAnsi="Arial" w:cs="Arial"/>
          <w:sz w:val="24"/>
          <w:szCs w:val="24"/>
          <w:lang w:val="es-ES_tradnl"/>
        </w:rPr>
        <w:t xml:space="preserve"> de conformidad con los artículos 1, 2, 9 y 10, fracción, IV, 12 y 13 de los Lineamientos y 9 del Reglamento Interior.</w:t>
      </w:r>
    </w:p>
    <w:p w14:paraId="1BC1EF42" w14:textId="77777777" w:rsidR="00054D63" w:rsidRPr="00125B30" w:rsidRDefault="00054D63" w:rsidP="00125B30">
      <w:pPr>
        <w:pStyle w:val="Sinespaciado"/>
      </w:pPr>
      <w:bookmarkStart w:id="6" w:name="_Hlk64916181"/>
    </w:p>
    <w:p w14:paraId="7A048AAB" w14:textId="3E93FA17" w:rsidR="00054D63" w:rsidRPr="00795B97" w:rsidRDefault="00371850" w:rsidP="00795B97">
      <w:pPr>
        <w:pStyle w:val="Ttulo1"/>
        <w:numPr>
          <w:ilvl w:val="0"/>
          <w:numId w:val="2"/>
        </w:numPr>
        <w:spacing w:before="0" w:beforeAutospacing="0" w:after="0" w:afterAutospacing="0"/>
        <w:ind w:left="426" w:hanging="426"/>
        <w:jc w:val="left"/>
        <w:rPr>
          <w:rFonts w:eastAsia="Times New Roman" w:cs="Arial"/>
          <w:szCs w:val="24"/>
          <w:lang w:eastAsia="es-ES"/>
        </w:rPr>
      </w:pPr>
      <w:bookmarkStart w:id="7" w:name="_Toc65238645"/>
      <w:r w:rsidRPr="00795B97">
        <w:rPr>
          <w:rFonts w:eastAsia="Times New Roman" w:cs="Arial"/>
          <w:caps w:val="0"/>
          <w:szCs w:val="24"/>
          <w:lang w:eastAsia="es-ES"/>
        </w:rPr>
        <w:t>Procedencia</w:t>
      </w:r>
      <w:bookmarkEnd w:id="7"/>
      <w:r w:rsidRPr="00795B97">
        <w:rPr>
          <w:rFonts w:eastAsia="Times New Roman" w:cs="Arial"/>
          <w:caps w:val="0"/>
          <w:szCs w:val="24"/>
          <w:lang w:eastAsia="es-ES"/>
        </w:rPr>
        <w:t xml:space="preserve"> </w:t>
      </w:r>
    </w:p>
    <w:p w14:paraId="1B48BE34" w14:textId="77777777" w:rsidR="00054D63" w:rsidRPr="00271087" w:rsidRDefault="00054D63" w:rsidP="00271087">
      <w:pPr>
        <w:pStyle w:val="Sinespaciado"/>
      </w:pPr>
    </w:p>
    <w:p w14:paraId="50B5A2F0" w14:textId="6EAF6DFD" w:rsidR="00054D63" w:rsidRPr="00795B97" w:rsidRDefault="00C914C7" w:rsidP="00795B97">
      <w:pPr>
        <w:spacing w:line="360" w:lineRule="auto"/>
        <w:jc w:val="both"/>
        <w:rPr>
          <w:rFonts w:ascii="Arial" w:hAnsi="Arial" w:cs="Arial"/>
          <w:sz w:val="24"/>
          <w:szCs w:val="24"/>
        </w:rPr>
      </w:pPr>
      <w:r w:rsidRPr="00795B97">
        <w:rPr>
          <w:rFonts w:ascii="Arial" w:hAnsi="Arial" w:cs="Arial"/>
          <w:sz w:val="24"/>
          <w:szCs w:val="24"/>
        </w:rPr>
        <w:t>Los juicios ciudadanos</w:t>
      </w:r>
      <w:r w:rsidR="00054D63" w:rsidRPr="00795B97">
        <w:rPr>
          <w:rFonts w:ascii="Arial" w:hAnsi="Arial" w:cs="Arial"/>
          <w:sz w:val="24"/>
          <w:szCs w:val="24"/>
        </w:rPr>
        <w:t xml:space="preserve"> cumple</w:t>
      </w:r>
      <w:r w:rsidRPr="00795B97">
        <w:rPr>
          <w:rFonts w:ascii="Arial" w:hAnsi="Arial" w:cs="Arial"/>
          <w:sz w:val="24"/>
          <w:szCs w:val="24"/>
        </w:rPr>
        <w:t>n</w:t>
      </w:r>
      <w:r w:rsidR="00054D63" w:rsidRPr="00795B97">
        <w:rPr>
          <w:rFonts w:ascii="Arial" w:hAnsi="Arial" w:cs="Arial"/>
          <w:sz w:val="24"/>
          <w:szCs w:val="24"/>
        </w:rPr>
        <w:t xml:space="preserve"> con los requisitos de procedencia previstos en los artículos 302, párrafo primero y 307, fracción II del Código Electoral, en relación con los diversos 1, 2, 10 y 11 de los Lineamientos.</w:t>
      </w:r>
    </w:p>
    <w:p w14:paraId="3CD8725A" w14:textId="77777777" w:rsidR="00054D63" w:rsidRPr="00271087" w:rsidRDefault="00054D63" w:rsidP="00271087">
      <w:pPr>
        <w:pStyle w:val="Sinespaciado"/>
      </w:pPr>
    </w:p>
    <w:p w14:paraId="6338A70E" w14:textId="153FCE0F" w:rsidR="00054D63" w:rsidRPr="00795B97" w:rsidRDefault="00054D63" w:rsidP="00795B97">
      <w:pPr>
        <w:spacing w:line="360" w:lineRule="auto"/>
        <w:jc w:val="both"/>
        <w:rPr>
          <w:rFonts w:ascii="Arial" w:hAnsi="Arial" w:cs="Arial"/>
          <w:b/>
          <w:bCs/>
          <w:sz w:val="24"/>
          <w:szCs w:val="24"/>
        </w:rPr>
      </w:pPr>
      <w:r w:rsidRPr="00795B97">
        <w:rPr>
          <w:rFonts w:ascii="Arial" w:hAnsi="Arial" w:cs="Arial"/>
          <w:b/>
          <w:bCs/>
          <w:sz w:val="24"/>
          <w:szCs w:val="24"/>
        </w:rPr>
        <w:t xml:space="preserve">1. Forma. </w:t>
      </w:r>
      <w:r w:rsidRPr="00795B97">
        <w:rPr>
          <w:rFonts w:ascii="Arial" w:hAnsi="Arial" w:cs="Arial"/>
          <w:sz w:val="24"/>
          <w:szCs w:val="24"/>
        </w:rPr>
        <w:t>La</w:t>
      </w:r>
      <w:r w:rsidR="00C914C7" w:rsidRPr="00795B97">
        <w:rPr>
          <w:rFonts w:ascii="Arial" w:hAnsi="Arial" w:cs="Arial"/>
          <w:sz w:val="24"/>
          <w:szCs w:val="24"/>
        </w:rPr>
        <w:t>s</w:t>
      </w:r>
      <w:r w:rsidRPr="00795B97">
        <w:rPr>
          <w:rFonts w:ascii="Arial" w:hAnsi="Arial" w:cs="Arial"/>
          <w:sz w:val="24"/>
          <w:szCs w:val="24"/>
        </w:rPr>
        <w:t xml:space="preserve"> demanda</w:t>
      </w:r>
      <w:r w:rsidR="00C914C7" w:rsidRPr="00795B97">
        <w:rPr>
          <w:rFonts w:ascii="Arial" w:hAnsi="Arial" w:cs="Arial"/>
          <w:sz w:val="24"/>
          <w:szCs w:val="24"/>
        </w:rPr>
        <w:t>s</w:t>
      </w:r>
      <w:r w:rsidRPr="00795B97">
        <w:rPr>
          <w:rFonts w:ascii="Arial" w:hAnsi="Arial" w:cs="Arial"/>
          <w:sz w:val="24"/>
          <w:szCs w:val="24"/>
        </w:rPr>
        <w:t xml:space="preserve"> cumple</w:t>
      </w:r>
      <w:r w:rsidR="00C914C7" w:rsidRPr="00795B97">
        <w:rPr>
          <w:rFonts w:ascii="Arial" w:hAnsi="Arial" w:cs="Arial"/>
          <w:sz w:val="24"/>
          <w:szCs w:val="24"/>
        </w:rPr>
        <w:t>n</w:t>
      </w:r>
      <w:r w:rsidRPr="00795B97">
        <w:rPr>
          <w:rFonts w:ascii="Arial" w:hAnsi="Arial" w:cs="Arial"/>
          <w:sz w:val="24"/>
          <w:szCs w:val="24"/>
        </w:rPr>
        <w:t xml:space="preserve"> el presente requisito porque: </w:t>
      </w:r>
      <w:r w:rsidRPr="00795B97">
        <w:rPr>
          <w:rFonts w:ascii="Arial" w:hAnsi="Arial" w:cs="Arial"/>
          <w:b/>
          <w:bCs/>
          <w:i/>
          <w:iCs/>
          <w:sz w:val="24"/>
          <w:szCs w:val="24"/>
        </w:rPr>
        <w:t>a)</w:t>
      </w:r>
      <w:r w:rsidRPr="00795B97">
        <w:rPr>
          <w:rFonts w:ascii="Arial" w:hAnsi="Arial" w:cs="Arial"/>
          <w:b/>
          <w:bCs/>
          <w:sz w:val="24"/>
          <w:szCs w:val="24"/>
        </w:rPr>
        <w:t xml:space="preserve"> </w:t>
      </w:r>
      <w:r w:rsidRPr="00795B97">
        <w:rPr>
          <w:rFonts w:ascii="Arial" w:hAnsi="Arial" w:cs="Arial"/>
          <w:sz w:val="24"/>
          <w:szCs w:val="24"/>
        </w:rPr>
        <w:t>fue</w:t>
      </w:r>
      <w:r w:rsidR="00C914C7" w:rsidRPr="00795B97">
        <w:rPr>
          <w:rFonts w:ascii="Arial" w:hAnsi="Arial" w:cs="Arial"/>
          <w:sz w:val="24"/>
          <w:szCs w:val="24"/>
        </w:rPr>
        <w:t>ron</w:t>
      </w:r>
      <w:r w:rsidRPr="00795B97">
        <w:rPr>
          <w:rFonts w:ascii="Arial" w:hAnsi="Arial" w:cs="Arial"/>
          <w:sz w:val="24"/>
          <w:szCs w:val="24"/>
        </w:rPr>
        <w:t xml:space="preserve"> presentada</w:t>
      </w:r>
      <w:r w:rsidR="00C914C7" w:rsidRPr="00795B97">
        <w:rPr>
          <w:rFonts w:ascii="Arial" w:hAnsi="Arial" w:cs="Arial"/>
          <w:sz w:val="24"/>
          <w:szCs w:val="24"/>
        </w:rPr>
        <w:t>s</w:t>
      </w:r>
      <w:r w:rsidRPr="00795B97">
        <w:rPr>
          <w:rFonts w:ascii="Arial" w:hAnsi="Arial" w:cs="Arial"/>
          <w:sz w:val="24"/>
          <w:szCs w:val="24"/>
        </w:rPr>
        <w:t xml:space="preserve"> por escrito ante la autoridad responsable, </w:t>
      </w:r>
      <w:r w:rsidRPr="00795B97">
        <w:rPr>
          <w:rFonts w:ascii="Arial" w:hAnsi="Arial" w:cs="Arial"/>
          <w:b/>
          <w:bCs/>
          <w:i/>
          <w:iCs/>
          <w:sz w:val="24"/>
          <w:szCs w:val="24"/>
        </w:rPr>
        <w:t>b)</w:t>
      </w:r>
      <w:r w:rsidRPr="00795B97">
        <w:rPr>
          <w:rFonts w:ascii="Arial" w:hAnsi="Arial" w:cs="Arial"/>
          <w:sz w:val="24"/>
          <w:szCs w:val="24"/>
        </w:rPr>
        <w:t xml:space="preserve"> en ella</w:t>
      </w:r>
      <w:r w:rsidR="00C914C7" w:rsidRPr="00795B97">
        <w:rPr>
          <w:rFonts w:ascii="Arial" w:hAnsi="Arial" w:cs="Arial"/>
          <w:sz w:val="24"/>
          <w:szCs w:val="24"/>
        </w:rPr>
        <w:t>s</w:t>
      </w:r>
      <w:r w:rsidRPr="00795B97">
        <w:rPr>
          <w:rFonts w:ascii="Arial" w:hAnsi="Arial" w:cs="Arial"/>
          <w:sz w:val="24"/>
          <w:szCs w:val="24"/>
        </w:rPr>
        <w:t xml:space="preserve"> se hace constar el nombre de</w:t>
      </w:r>
      <w:r w:rsidR="00C914C7" w:rsidRPr="00795B97">
        <w:rPr>
          <w:rFonts w:ascii="Arial" w:hAnsi="Arial" w:cs="Arial"/>
          <w:sz w:val="24"/>
          <w:szCs w:val="24"/>
        </w:rPr>
        <w:t xml:space="preserve"> la y e</w:t>
      </w:r>
      <w:r w:rsidRPr="00795B97">
        <w:rPr>
          <w:rFonts w:ascii="Arial" w:hAnsi="Arial" w:cs="Arial"/>
          <w:sz w:val="24"/>
          <w:szCs w:val="24"/>
        </w:rPr>
        <w:t xml:space="preserve">l recurrente, </w:t>
      </w:r>
      <w:r w:rsidRPr="00795B97">
        <w:rPr>
          <w:rFonts w:ascii="Arial" w:hAnsi="Arial" w:cs="Arial"/>
          <w:b/>
          <w:bCs/>
          <w:i/>
          <w:iCs/>
          <w:sz w:val="24"/>
          <w:szCs w:val="24"/>
        </w:rPr>
        <w:t>c)</w:t>
      </w:r>
      <w:r w:rsidRPr="00795B97">
        <w:rPr>
          <w:rFonts w:ascii="Arial" w:hAnsi="Arial" w:cs="Arial"/>
          <w:sz w:val="24"/>
          <w:szCs w:val="24"/>
        </w:rPr>
        <w:t xml:space="preserve"> </w:t>
      </w:r>
      <w:r w:rsidR="00C914C7" w:rsidRPr="00795B97">
        <w:rPr>
          <w:rFonts w:ascii="Arial" w:hAnsi="Arial" w:cs="Arial"/>
          <w:sz w:val="24"/>
          <w:szCs w:val="24"/>
        </w:rPr>
        <w:t>identifican</w:t>
      </w:r>
      <w:r w:rsidRPr="00795B97">
        <w:rPr>
          <w:rFonts w:ascii="Arial" w:hAnsi="Arial" w:cs="Arial"/>
          <w:sz w:val="24"/>
          <w:szCs w:val="24"/>
        </w:rPr>
        <w:t xml:space="preserve"> el acto impugnado y; </w:t>
      </w:r>
      <w:r w:rsidRPr="00795B97">
        <w:rPr>
          <w:rFonts w:ascii="Arial" w:hAnsi="Arial" w:cs="Arial"/>
          <w:b/>
          <w:bCs/>
          <w:i/>
          <w:iCs/>
          <w:sz w:val="24"/>
          <w:szCs w:val="24"/>
        </w:rPr>
        <w:t>d)</w:t>
      </w:r>
      <w:r w:rsidRPr="00795B97">
        <w:rPr>
          <w:rFonts w:ascii="Arial" w:hAnsi="Arial" w:cs="Arial"/>
          <w:sz w:val="24"/>
          <w:szCs w:val="24"/>
        </w:rPr>
        <w:t xml:space="preserve"> se enuncian los hechos y agravios en los que basan su impugnación, así como los preceptos presuntamente violados.</w:t>
      </w:r>
      <w:r w:rsidRPr="00795B97">
        <w:rPr>
          <w:rFonts w:ascii="Arial" w:hAnsi="Arial" w:cs="Arial"/>
          <w:b/>
          <w:bCs/>
          <w:sz w:val="24"/>
          <w:szCs w:val="24"/>
        </w:rPr>
        <w:t xml:space="preserve"> </w:t>
      </w:r>
    </w:p>
    <w:p w14:paraId="7D780F18" w14:textId="77777777" w:rsidR="00054D63" w:rsidRPr="00271087" w:rsidRDefault="00054D63" w:rsidP="00271087">
      <w:pPr>
        <w:pStyle w:val="Sinespaciado"/>
      </w:pPr>
    </w:p>
    <w:p w14:paraId="0F6DA413" w14:textId="21DB5659" w:rsidR="00054D63" w:rsidRPr="00795B97" w:rsidRDefault="00054D63" w:rsidP="00795B97">
      <w:pPr>
        <w:spacing w:line="360" w:lineRule="auto"/>
        <w:jc w:val="both"/>
        <w:rPr>
          <w:rFonts w:ascii="Arial" w:hAnsi="Arial" w:cs="Arial"/>
          <w:sz w:val="24"/>
          <w:szCs w:val="24"/>
        </w:rPr>
      </w:pPr>
      <w:r w:rsidRPr="00795B97">
        <w:rPr>
          <w:rFonts w:ascii="Arial" w:hAnsi="Arial" w:cs="Arial"/>
          <w:b/>
          <w:bCs/>
          <w:sz w:val="24"/>
          <w:szCs w:val="24"/>
        </w:rPr>
        <w:t xml:space="preserve">2. Oportunidad. </w:t>
      </w:r>
      <w:r w:rsidR="00C914C7" w:rsidRPr="00795B97">
        <w:rPr>
          <w:rFonts w:ascii="Arial" w:hAnsi="Arial" w:cs="Arial"/>
          <w:sz w:val="24"/>
          <w:szCs w:val="24"/>
        </w:rPr>
        <w:t>Los</w:t>
      </w:r>
      <w:r w:rsidRPr="00795B97">
        <w:rPr>
          <w:rFonts w:ascii="Arial" w:hAnsi="Arial" w:cs="Arial"/>
          <w:sz w:val="24"/>
          <w:szCs w:val="24"/>
        </w:rPr>
        <w:t xml:space="preserve"> medio</w:t>
      </w:r>
      <w:r w:rsidR="00C914C7" w:rsidRPr="00795B97">
        <w:rPr>
          <w:rFonts w:ascii="Arial" w:hAnsi="Arial" w:cs="Arial"/>
          <w:sz w:val="24"/>
          <w:szCs w:val="24"/>
        </w:rPr>
        <w:t>s</w:t>
      </w:r>
      <w:r w:rsidRPr="00795B97">
        <w:rPr>
          <w:rFonts w:ascii="Arial" w:hAnsi="Arial" w:cs="Arial"/>
          <w:sz w:val="24"/>
          <w:szCs w:val="24"/>
        </w:rPr>
        <w:t xml:space="preserve"> de impugnación fue</w:t>
      </w:r>
      <w:r w:rsidR="00C914C7" w:rsidRPr="00795B97">
        <w:rPr>
          <w:rFonts w:ascii="Arial" w:hAnsi="Arial" w:cs="Arial"/>
          <w:sz w:val="24"/>
          <w:szCs w:val="24"/>
        </w:rPr>
        <w:t>ron</w:t>
      </w:r>
      <w:r w:rsidRPr="00795B97">
        <w:rPr>
          <w:rFonts w:ascii="Arial" w:hAnsi="Arial" w:cs="Arial"/>
          <w:sz w:val="24"/>
          <w:szCs w:val="24"/>
        </w:rPr>
        <w:t xml:space="preserve"> </w:t>
      </w:r>
      <w:r w:rsidR="00040ABE">
        <w:rPr>
          <w:rFonts w:ascii="Arial" w:hAnsi="Arial" w:cs="Arial"/>
          <w:sz w:val="24"/>
          <w:szCs w:val="24"/>
        </w:rPr>
        <w:t xml:space="preserve">presentados </w:t>
      </w:r>
      <w:r w:rsidRPr="00795B97">
        <w:rPr>
          <w:rFonts w:ascii="Arial" w:hAnsi="Arial" w:cs="Arial"/>
          <w:sz w:val="24"/>
          <w:szCs w:val="24"/>
        </w:rPr>
        <w:t>en tiempo y forma</w:t>
      </w:r>
      <w:r w:rsidR="005F574E">
        <w:rPr>
          <w:rFonts w:ascii="Arial" w:hAnsi="Arial" w:cs="Arial"/>
          <w:sz w:val="24"/>
          <w:szCs w:val="24"/>
        </w:rPr>
        <w:t>,</w:t>
      </w:r>
      <w:r w:rsidRPr="00795B97">
        <w:rPr>
          <w:rFonts w:ascii="Arial" w:hAnsi="Arial" w:cs="Arial"/>
          <w:sz w:val="24"/>
          <w:szCs w:val="24"/>
        </w:rPr>
        <w:t xml:space="preserve"> ya que se present</w:t>
      </w:r>
      <w:r w:rsidR="00040ABE">
        <w:rPr>
          <w:rFonts w:ascii="Arial" w:hAnsi="Arial" w:cs="Arial"/>
          <w:sz w:val="24"/>
          <w:szCs w:val="24"/>
        </w:rPr>
        <w:t>aron el 28 de febrero y</w:t>
      </w:r>
      <w:r w:rsidR="00C914C7" w:rsidRPr="00795B97">
        <w:rPr>
          <w:rFonts w:ascii="Arial" w:hAnsi="Arial" w:cs="Arial"/>
          <w:sz w:val="24"/>
          <w:szCs w:val="24"/>
        </w:rPr>
        <w:t xml:space="preserve"> 2 de marzo, respectivamente,</w:t>
      </w:r>
      <w:r w:rsidRPr="00795B97">
        <w:rPr>
          <w:rFonts w:ascii="Arial" w:hAnsi="Arial" w:cs="Arial"/>
          <w:sz w:val="24"/>
          <w:szCs w:val="24"/>
        </w:rPr>
        <w:t xml:space="preserve"> y el acto impugnado se le</w:t>
      </w:r>
      <w:r w:rsidR="00B949D8">
        <w:rPr>
          <w:rFonts w:ascii="Arial" w:hAnsi="Arial" w:cs="Arial"/>
          <w:sz w:val="24"/>
          <w:szCs w:val="24"/>
        </w:rPr>
        <w:t>s</w:t>
      </w:r>
      <w:r w:rsidRPr="00795B97">
        <w:rPr>
          <w:rFonts w:ascii="Arial" w:hAnsi="Arial" w:cs="Arial"/>
          <w:sz w:val="24"/>
          <w:szCs w:val="24"/>
        </w:rPr>
        <w:t xml:space="preserve"> notificó el </w:t>
      </w:r>
      <w:r w:rsidR="00C914C7" w:rsidRPr="00795B97">
        <w:rPr>
          <w:rFonts w:ascii="Arial" w:hAnsi="Arial" w:cs="Arial"/>
          <w:sz w:val="24"/>
          <w:szCs w:val="24"/>
        </w:rPr>
        <w:t>27 de febrero</w:t>
      </w:r>
      <w:r w:rsidR="005F574E">
        <w:rPr>
          <w:rFonts w:ascii="Arial" w:hAnsi="Arial" w:cs="Arial"/>
          <w:sz w:val="24"/>
          <w:szCs w:val="24"/>
        </w:rPr>
        <w:t xml:space="preserve">, por tanto, </w:t>
      </w:r>
      <w:r w:rsidRPr="00795B97">
        <w:rPr>
          <w:rFonts w:ascii="Arial" w:hAnsi="Arial" w:cs="Arial"/>
          <w:sz w:val="24"/>
          <w:szCs w:val="24"/>
        </w:rPr>
        <w:t>fue</w:t>
      </w:r>
      <w:r w:rsidR="00C914C7" w:rsidRPr="00795B97">
        <w:rPr>
          <w:rFonts w:ascii="Arial" w:hAnsi="Arial" w:cs="Arial"/>
          <w:sz w:val="24"/>
          <w:szCs w:val="24"/>
        </w:rPr>
        <w:t>ron</w:t>
      </w:r>
      <w:r w:rsidRPr="00795B97">
        <w:rPr>
          <w:rFonts w:ascii="Arial" w:hAnsi="Arial" w:cs="Arial"/>
          <w:sz w:val="24"/>
          <w:szCs w:val="24"/>
        </w:rPr>
        <w:t xml:space="preserve"> promovido</w:t>
      </w:r>
      <w:r w:rsidR="00C914C7" w:rsidRPr="00795B97">
        <w:rPr>
          <w:rFonts w:ascii="Arial" w:hAnsi="Arial" w:cs="Arial"/>
          <w:sz w:val="24"/>
          <w:szCs w:val="24"/>
        </w:rPr>
        <w:t>s</w:t>
      </w:r>
      <w:r w:rsidRPr="00795B97">
        <w:rPr>
          <w:rFonts w:ascii="Arial" w:hAnsi="Arial" w:cs="Arial"/>
          <w:sz w:val="24"/>
          <w:szCs w:val="24"/>
        </w:rPr>
        <w:t xml:space="preserve"> dentro del plazo de 4 días.</w:t>
      </w:r>
    </w:p>
    <w:p w14:paraId="33F87482" w14:textId="77777777" w:rsidR="00054D63" w:rsidRPr="00795B97" w:rsidRDefault="00054D63" w:rsidP="00E97908">
      <w:pPr>
        <w:pStyle w:val="Sinespaciado"/>
        <w:rPr>
          <w:rFonts w:ascii="Arial" w:hAnsi="Arial" w:cs="Arial"/>
          <w:sz w:val="24"/>
          <w:szCs w:val="24"/>
        </w:rPr>
      </w:pPr>
    </w:p>
    <w:p w14:paraId="7C3C1429" w14:textId="538329FB" w:rsidR="00054D63" w:rsidRPr="00795B97" w:rsidRDefault="00054D63" w:rsidP="00795B97">
      <w:pPr>
        <w:spacing w:line="360" w:lineRule="auto"/>
        <w:jc w:val="both"/>
        <w:rPr>
          <w:rFonts w:ascii="Arial" w:hAnsi="Arial" w:cs="Arial"/>
          <w:sz w:val="24"/>
          <w:szCs w:val="24"/>
        </w:rPr>
      </w:pPr>
      <w:r w:rsidRPr="00795B97">
        <w:rPr>
          <w:rFonts w:ascii="Arial" w:hAnsi="Arial" w:cs="Arial"/>
          <w:b/>
          <w:bCs/>
          <w:sz w:val="24"/>
          <w:szCs w:val="24"/>
        </w:rPr>
        <w:t xml:space="preserve">3. Legitimación y personería. </w:t>
      </w:r>
      <w:r w:rsidR="00C914C7" w:rsidRPr="00795B97">
        <w:rPr>
          <w:rFonts w:ascii="Arial" w:hAnsi="Arial" w:cs="Arial"/>
          <w:sz w:val="24"/>
          <w:szCs w:val="24"/>
        </w:rPr>
        <w:t>Los</w:t>
      </w:r>
      <w:r w:rsidRPr="00795B97">
        <w:rPr>
          <w:rFonts w:ascii="Arial" w:hAnsi="Arial" w:cs="Arial"/>
          <w:sz w:val="24"/>
          <w:szCs w:val="24"/>
        </w:rPr>
        <w:t xml:space="preserve"> medio</w:t>
      </w:r>
      <w:r w:rsidR="00C914C7" w:rsidRPr="00795B97">
        <w:rPr>
          <w:rFonts w:ascii="Arial" w:hAnsi="Arial" w:cs="Arial"/>
          <w:sz w:val="24"/>
          <w:szCs w:val="24"/>
        </w:rPr>
        <w:t>s</w:t>
      </w:r>
      <w:r w:rsidRPr="00795B97">
        <w:rPr>
          <w:rFonts w:ascii="Arial" w:hAnsi="Arial" w:cs="Arial"/>
          <w:sz w:val="24"/>
          <w:szCs w:val="24"/>
        </w:rPr>
        <w:t xml:space="preserve"> de impugnación fue</w:t>
      </w:r>
      <w:r w:rsidR="00C914C7" w:rsidRPr="00795B97">
        <w:rPr>
          <w:rFonts w:ascii="Arial" w:hAnsi="Arial" w:cs="Arial"/>
          <w:sz w:val="24"/>
          <w:szCs w:val="24"/>
        </w:rPr>
        <w:t>ron</w:t>
      </w:r>
      <w:r w:rsidRPr="00795B97">
        <w:rPr>
          <w:rFonts w:ascii="Arial" w:hAnsi="Arial" w:cs="Arial"/>
          <w:sz w:val="24"/>
          <w:szCs w:val="24"/>
        </w:rPr>
        <w:t xml:space="preserve"> promovido</w:t>
      </w:r>
      <w:r w:rsidR="00C914C7" w:rsidRPr="00795B97">
        <w:rPr>
          <w:rFonts w:ascii="Arial" w:hAnsi="Arial" w:cs="Arial"/>
          <w:sz w:val="24"/>
          <w:szCs w:val="24"/>
        </w:rPr>
        <w:t xml:space="preserve">s por </w:t>
      </w:r>
      <w:r w:rsidR="00371850">
        <w:rPr>
          <w:rFonts w:ascii="Arial" w:hAnsi="Arial" w:cs="Arial"/>
          <w:sz w:val="24"/>
          <w:szCs w:val="24"/>
        </w:rPr>
        <w:t xml:space="preserve">la ciudadana </w:t>
      </w:r>
      <w:r w:rsidR="00C914C7" w:rsidRPr="00795B97">
        <w:rPr>
          <w:rFonts w:ascii="Arial" w:hAnsi="Arial" w:cs="Arial"/>
          <w:sz w:val="24"/>
          <w:szCs w:val="24"/>
          <w:lang w:val="es-ES_tradnl"/>
        </w:rPr>
        <w:t xml:space="preserve">Salma Luévano Luna y </w:t>
      </w:r>
      <w:r w:rsidR="00371850">
        <w:rPr>
          <w:rFonts w:ascii="Arial" w:hAnsi="Arial" w:cs="Arial"/>
          <w:sz w:val="24"/>
          <w:szCs w:val="24"/>
          <w:lang w:val="es-ES_tradnl"/>
        </w:rPr>
        <w:t xml:space="preserve">el ciudadano </w:t>
      </w:r>
      <w:r w:rsidR="00C914C7" w:rsidRPr="00795B97">
        <w:rPr>
          <w:rFonts w:ascii="Arial" w:hAnsi="Arial" w:cs="Arial"/>
          <w:sz w:val="24"/>
          <w:szCs w:val="24"/>
          <w:lang w:val="es-ES_tradnl"/>
        </w:rPr>
        <w:t>Néstor Armando Camacho Mauricio, respectivamente</w:t>
      </w:r>
      <w:r w:rsidR="00C914C7" w:rsidRPr="00795B97">
        <w:rPr>
          <w:rFonts w:ascii="Arial" w:hAnsi="Arial" w:cs="Arial"/>
          <w:sz w:val="24"/>
          <w:szCs w:val="24"/>
        </w:rPr>
        <w:t xml:space="preserve">, en sus calidades de </w:t>
      </w:r>
      <w:r w:rsidR="00B949D8">
        <w:rPr>
          <w:rFonts w:ascii="Arial" w:hAnsi="Arial" w:cs="Arial"/>
          <w:sz w:val="24"/>
          <w:szCs w:val="24"/>
        </w:rPr>
        <w:t>integrantes de</w:t>
      </w:r>
      <w:r w:rsidR="00C914C7" w:rsidRPr="00795B97">
        <w:rPr>
          <w:rFonts w:ascii="Arial" w:hAnsi="Arial" w:cs="Arial"/>
          <w:sz w:val="24"/>
          <w:szCs w:val="24"/>
        </w:rPr>
        <w:t xml:space="preserve"> los grupos </w:t>
      </w:r>
      <w:r w:rsidR="0033783A">
        <w:rPr>
          <w:rFonts w:ascii="Arial" w:hAnsi="Arial" w:cs="Arial"/>
          <w:sz w:val="24"/>
          <w:szCs w:val="24"/>
        </w:rPr>
        <w:t>en situación de vulnerabilidad</w:t>
      </w:r>
      <w:r w:rsidR="00C914C7" w:rsidRPr="00795B97">
        <w:rPr>
          <w:rFonts w:ascii="Arial" w:hAnsi="Arial" w:cs="Arial"/>
          <w:sz w:val="24"/>
          <w:szCs w:val="24"/>
        </w:rPr>
        <w:t xml:space="preserve"> y aspirantes a contender en el actual proceso electoral,</w:t>
      </w:r>
      <w:r w:rsidRPr="00795B97">
        <w:rPr>
          <w:rFonts w:ascii="Arial" w:hAnsi="Arial" w:cs="Arial"/>
          <w:sz w:val="24"/>
          <w:szCs w:val="24"/>
        </w:rPr>
        <w:t xml:space="preserve"> carácter que es reconocido por la </w:t>
      </w:r>
      <w:r w:rsidR="00040ABE">
        <w:rPr>
          <w:rFonts w:ascii="Arial" w:hAnsi="Arial" w:cs="Arial"/>
          <w:sz w:val="24"/>
          <w:szCs w:val="24"/>
        </w:rPr>
        <w:t xml:space="preserve">autoridad </w:t>
      </w:r>
      <w:r w:rsidRPr="00795B97">
        <w:rPr>
          <w:rFonts w:ascii="Arial" w:hAnsi="Arial" w:cs="Arial"/>
          <w:sz w:val="24"/>
          <w:szCs w:val="24"/>
        </w:rPr>
        <w:t>responsable</w:t>
      </w:r>
      <w:r w:rsidR="00B949D8">
        <w:rPr>
          <w:rFonts w:ascii="Arial" w:hAnsi="Arial" w:cs="Arial"/>
          <w:sz w:val="24"/>
          <w:szCs w:val="24"/>
        </w:rPr>
        <w:t xml:space="preserve"> </w:t>
      </w:r>
      <w:r w:rsidRPr="00795B97">
        <w:rPr>
          <w:rFonts w:ascii="Arial" w:hAnsi="Arial" w:cs="Arial"/>
          <w:sz w:val="24"/>
          <w:szCs w:val="24"/>
        </w:rPr>
        <w:t xml:space="preserve">y </w:t>
      </w:r>
      <w:r w:rsidR="00B949D8">
        <w:rPr>
          <w:rFonts w:ascii="Arial" w:hAnsi="Arial" w:cs="Arial"/>
          <w:sz w:val="24"/>
          <w:szCs w:val="24"/>
        </w:rPr>
        <w:t xml:space="preserve">es </w:t>
      </w:r>
      <w:r w:rsidRPr="00795B97">
        <w:rPr>
          <w:rFonts w:ascii="Arial" w:hAnsi="Arial" w:cs="Arial"/>
          <w:sz w:val="24"/>
          <w:szCs w:val="24"/>
        </w:rPr>
        <w:t>acreditado mediante copia de su credencial de elector.</w:t>
      </w:r>
    </w:p>
    <w:p w14:paraId="095FDBA5" w14:textId="77777777" w:rsidR="00054D63" w:rsidRPr="00271087" w:rsidRDefault="00054D63" w:rsidP="00271087">
      <w:pPr>
        <w:pStyle w:val="Sinespaciado"/>
      </w:pPr>
    </w:p>
    <w:p w14:paraId="5DCABEA8" w14:textId="77777777" w:rsidR="006B280E" w:rsidRDefault="00054D63" w:rsidP="00795B97">
      <w:pPr>
        <w:spacing w:line="360" w:lineRule="auto"/>
        <w:jc w:val="both"/>
        <w:rPr>
          <w:rFonts w:ascii="Arial" w:hAnsi="Arial" w:cs="Arial"/>
          <w:sz w:val="24"/>
          <w:szCs w:val="24"/>
        </w:rPr>
      </w:pPr>
      <w:r w:rsidRPr="00795B97">
        <w:rPr>
          <w:rFonts w:ascii="Arial" w:hAnsi="Arial" w:cs="Arial"/>
          <w:b/>
          <w:bCs/>
          <w:sz w:val="24"/>
          <w:szCs w:val="24"/>
        </w:rPr>
        <w:t>4. Interés jurídico</w:t>
      </w:r>
      <w:r w:rsidR="00B949D8">
        <w:rPr>
          <w:rFonts w:ascii="Arial" w:hAnsi="Arial" w:cs="Arial"/>
          <w:b/>
          <w:bCs/>
          <w:sz w:val="24"/>
          <w:szCs w:val="24"/>
        </w:rPr>
        <w:t xml:space="preserve"> y legítimo</w:t>
      </w:r>
      <w:r w:rsidRPr="00795B97">
        <w:rPr>
          <w:rFonts w:ascii="Arial" w:hAnsi="Arial" w:cs="Arial"/>
          <w:b/>
          <w:bCs/>
          <w:sz w:val="24"/>
          <w:szCs w:val="24"/>
        </w:rPr>
        <w:t xml:space="preserve">. </w:t>
      </w:r>
      <w:r w:rsidRPr="00795B97">
        <w:rPr>
          <w:rFonts w:ascii="Arial" w:hAnsi="Arial" w:cs="Arial"/>
          <w:sz w:val="24"/>
          <w:szCs w:val="24"/>
        </w:rPr>
        <w:t>Se satisface este requisito, porque l</w:t>
      </w:r>
      <w:r w:rsidR="00C914C7" w:rsidRPr="00795B97">
        <w:rPr>
          <w:rFonts w:ascii="Arial" w:hAnsi="Arial" w:cs="Arial"/>
          <w:sz w:val="24"/>
          <w:szCs w:val="24"/>
        </w:rPr>
        <w:t>os</w:t>
      </w:r>
      <w:r w:rsidRPr="00795B97">
        <w:rPr>
          <w:rFonts w:ascii="Arial" w:hAnsi="Arial" w:cs="Arial"/>
          <w:sz w:val="24"/>
          <w:szCs w:val="24"/>
        </w:rPr>
        <w:t xml:space="preserve"> promovente</w:t>
      </w:r>
      <w:r w:rsidR="00C914C7" w:rsidRPr="00795B97">
        <w:rPr>
          <w:rFonts w:ascii="Arial" w:hAnsi="Arial" w:cs="Arial"/>
          <w:sz w:val="24"/>
          <w:szCs w:val="24"/>
        </w:rPr>
        <w:t>s</w:t>
      </w:r>
      <w:r w:rsidRPr="00795B97">
        <w:rPr>
          <w:rFonts w:ascii="Arial" w:hAnsi="Arial" w:cs="Arial"/>
          <w:sz w:val="24"/>
          <w:szCs w:val="24"/>
        </w:rPr>
        <w:t xml:space="preserve"> controvierte</w:t>
      </w:r>
      <w:r w:rsidR="00C914C7" w:rsidRPr="00795B97">
        <w:rPr>
          <w:rFonts w:ascii="Arial" w:hAnsi="Arial" w:cs="Arial"/>
          <w:sz w:val="24"/>
          <w:szCs w:val="24"/>
        </w:rPr>
        <w:t>n</w:t>
      </w:r>
      <w:r w:rsidRPr="00795B97">
        <w:rPr>
          <w:rFonts w:ascii="Arial" w:hAnsi="Arial" w:cs="Arial"/>
          <w:b/>
          <w:bCs/>
          <w:sz w:val="24"/>
          <w:szCs w:val="24"/>
        </w:rPr>
        <w:t xml:space="preserve"> </w:t>
      </w:r>
      <w:r w:rsidR="00C914C7" w:rsidRPr="00795B97">
        <w:rPr>
          <w:rFonts w:ascii="Arial" w:hAnsi="Arial" w:cs="Arial"/>
          <w:sz w:val="24"/>
          <w:szCs w:val="24"/>
        </w:rPr>
        <w:t xml:space="preserve">el acuerdo del Instituto </w:t>
      </w:r>
      <w:r w:rsidR="00040ABE">
        <w:rPr>
          <w:rFonts w:ascii="Arial" w:hAnsi="Arial" w:cs="Arial"/>
          <w:sz w:val="24"/>
          <w:szCs w:val="24"/>
        </w:rPr>
        <w:t xml:space="preserve">que estableció </w:t>
      </w:r>
      <w:r w:rsidR="00A57DA1" w:rsidRPr="00795B97">
        <w:rPr>
          <w:rFonts w:ascii="Arial" w:hAnsi="Arial" w:cs="Arial"/>
          <w:sz w:val="24"/>
          <w:szCs w:val="24"/>
        </w:rPr>
        <w:t xml:space="preserve">los lineamientos </w:t>
      </w:r>
      <w:r w:rsidR="00040ABE">
        <w:rPr>
          <w:rFonts w:ascii="Arial" w:hAnsi="Arial" w:cs="Arial"/>
          <w:sz w:val="24"/>
          <w:szCs w:val="24"/>
        </w:rPr>
        <w:t xml:space="preserve">sobre </w:t>
      </w:r>
      <w:r w:rsidR="00A57DA1" w:rsidRPr="00795B97">
        <w:rPr>
          <w:rFonts w:ascii="Arial" w:hAnsi="Arial" w:cs="Arial"/>
          <w:sz w:val="24"/>
          <w:szCs w:val="24"/>
        </w:rPr>
        <w:t>las cuotas a favor de las personas de la comunidad LGBTI</w:t>
      </w:r>
      <w:r w:rsidR="001B2E96">
        <w:rPr>
          <w:rFonts w:ascii="Arial" w:hAnsi="Arial" w:cs="Arial"/>
          <w:sz w:val="24"/>
          <w:szCs w:val="24"/>
        </w:rPr>
        <w:t>Q</w:t>
      </w:r>
      <w:r w:rsidR="00A57DA1" w:rsidRPr="00795B97">
        <w:rPr>
          <w:rFonts w:ascii="Arial" w:hAnsi="Arial" w:cs="Arial"/>
          <w:sz w:val="24"/>
          <w:szCs w:val="24"/>
        </w:rPr>
        <w:t>+ y personas con alguna discapacidad, al identificarse dentro de estos grupos en situación de vulnerabilidad</w:t>
      </w:r>
      <w:r w:rsidR="00B949D8">
        <w:rPr>
          <w:rFonts w:ascii="Arial" w:hAnsi="Arial" w:cs="Arial"/>
          <w:sz w:val="24"/>
          <w:szCs w:val="24"/>
        </w:rPr>
        <w:t xml:space="preserve">, ya que comparecen en su calidad de aspirantes a una diputación </w:t>
      </w:r>
      <w:r w:rsidR="006B280E">
        <w:rPr>
          <w:rFonts w:ascii="Arial" w:hAnsi="Arial" w:cs="Arial"/>
          <w:sz w:val="24"/>
          <w:szCs w:val="24"/>
        </w:rPr>
        <w:t xml:space="preserve">y, por tanto, tienen interés jurídico para cuestionar las cuotas establecidas para tales cargos. </w:t>
      </w:r>
    </w:p>
    <w:p w14:paraId="349EF2EC" w14:textId="77777777" w:rsidR="006B280E" w:rsidRDefault="006B280E" w:rsidP="00271087">
      <w:pPr>
        <w:pStyle w:val="Sinespaciado"/>
      </w:pPr>
    </w:p>
    <w:p w14:paraId="67052012" w14:textId="7E096529" w:rsidR="006B280E" w:rsidRPr="00795B97" w:rsidRDefault="006B280E" w:rsidP="00795B97">
      <w:pPr>
        <w:spacing w:line="360" w:lineRule="auto"/>
        <w:jc w:val="both"/>
        <w:rPr>
          <w:rFonts w:ascii="Arial" w:hAnsi="Arial" w:cs="Arial"/>
          <w:sz w:val="24"/>
          <w:szCs w:val="24"/>
        </w:rPr>
      </w:pPr>
      <w:r>
        <w:rPr>
          <w:rFonts w:ascii="Arial" w:hAnsi="Arial" w:cs="Arial"/>
          <w:sz w:val="24"/>
          <w:szCs w:val="24"/>
        </w:rPr>
        <w:t xml:space="preserve">Asimismo, se acredita el interés legítimo en atención a que comparecen como integrantes de un grupo </w:t>
      </w:r>
      <w:r w:rsidR="0033783A">
        <w:rPr>
          <w:rFonts w:ascii="Arial" w:hAnsi="Arial" w:cs="Arial"/>
          <w:sz w:val="24"/>
          <w:szCs w:val="24"/>
        </w:rPr>
        <w:t xml:space="preserve">en situación de vulnerabilidad </w:t>
      </w:r>
      <w:r>
        <w:rPr>
          <w:rFonts w:ascii="Arial" w:hAnsi="Arial" w:cs="Arial"/>
          <w:sz w:val="24"/>
          <w:szCs w:val="24"/>
        </w:rPr>
        <w:t xml:space="preserve">y, a su vez, cuestionan las cuotas para la postulación de candidaturas en Ayuntamientos. </w:t>
      </w:r>
    </w:p>
    <w:p w14:paraId="0D849326" w14:textId="77777777" w:rsidR="00054D63" w:rsidRPr="00271087" w:rsidRDefault="00054D63" w:rsidP="00271087">
      <w:pPr>
        <w:pStyle w:val="Sinespaciado"/>
      </w:pPr>
    </w:p>
    <w:p w14:paraId="276EE2ED" w14:textId="5AD480A1" w:rsidR="006334AE" w:rsidRPr="00795B97" w:rsidRDefault="00054D63" w:rsidP="00795B97">
      <w:pPr>
        <w:spacing w:line="360" w:lineRule="auto"/>
        <w:jc w:val="both"/>
        <w:rPr>
          <w:rFonts w:ascii="Arial" w:hAnsi="Arial" w:cs="Arial"/>
          <w:sz w:val="24"/>
          <w:szCs w:val="24"/>
        </w:rPr>
      </w:pPr>
      <w:r w:rsidRPr="00795B97">
        <w:rPr>
          <w:rFonts w:ascii="Arial" w:hAnsi="Arial" w:cs="Arial"/>
          <w:b/>
          <w:bCs/>
          <w:sz w:val="24"/>
          <w:szCs w:val="24"/>
        </w:rPr>
        <w:t xml:space="preserve">5. Definitividad. </w:t>
      </w:r>
      <w:r w:rsidRPr="00795B97">
        <w:rPr>
          <w:rFonts w:ascii="Arial" w:hAnsi="Arial" w:cs="Arial"/>
          <w:sz w:val="24"/>
          <w:szCs w:val="24"/>
        </w:rPr>
        <w:t xml:space="preserve">También se cumple este requisito, porque la ley electoral no prevé el agotamiento de alguna instancia previa al juicio ciudadano, </w:t>
      </w:r>
      <w:r w:rsidR="00040ABE">
        <w:rPr>
          <w:rFonts w:ascii="Arial" w:hAnsi="Arial" w:cs="Arial"/>
          <w:sz w:val="24"/>
          <w:szCs w:val="24"/>
        </w:rPr>
        <w:t xml:space="preserve">que pueda </w:t>
      </w:r>
      <w:r w:rsidRPr="00795B97">
        <w:rPr>
          <w:rFonts w:ascii="Arial" w:hAnsi="Arial" w:cs="Arial"/>
          <w:sz w:val="24"/>
          <w:szCs w:val="24"/>
        </w:rPr>
        <w:t xml:space="preserve">revocar, anular, </w:t>
      </w:r>
      <w:r w:rsidR="00040ABE">
        <w:rPr>
          <w:rFonts w:ascii="Arial" w:hAnsi="Arial" w:cs="Arial"/>
          <w:sz w:val="24"/>
          <w:szCs w:val="24"/>
        </w:rPr>
        <w:t>modificar o confirmar, el acuerdo</w:t>
      </w:r>
      <w:r w:rsidRPr="00795B97">
        <w:rPr>
          <w:rFonts w:ascii="Arial" w:hAnsi="Arial" w:cs="Arial"/>
          <w:sz w:val="24"/>
          <w:szCs w:val="24"/>
        </w:rPr>
        <w:t xml:space="preserve"> que ahora se controvierte.</w:t>
      </w:r>
    </w:p>
    <w:p w14:paraId="44D4E3BD" w14:textId="36319198" w:rsidR="006334AE" w:rsidRPr="00271087" w:rsidRDefault="006334AE" w:rsidP="00271087">
      <w:pPr>
        <w:pStyle w:val="Sinespaciado"/>
      </w:pPr>
    </w:p>
    <w:p w14:paraId="4C3B7D90" w14:textId="6D64597C" w:rsidR="00A57DA1" w:rsidRDefault="006334AE" w:rsidP="00795B97">
      <w:pPr>
        <w:spacing w:line="360" w:lineRule="auto"/>
        <w:jc w:val="both"/>
        <w:rPr>
          <w:rFonts w:ascii="Arial" w:hAnsi="Arial" w:cs="Arial"/>
          <w:sz w:val="24"/>
          <w:szCs w:val="24"/>
        </w:rPr>
      </w:pPr>
      <w:r w:rsidRPr="00795B97">
        <w:rPr>
          <w:rFonts w:ascii="Arial" w:hAnsi="Arial" w:cs="Arial"/>
          <w:b/>
          <w:bCs/>
          <w:sz w:val="24"/>
          <w:szCs w:val="24"/>
        </w:rPr>
        <w:t xml:space="preserve">6. Acumulación. </w:t>
      </w:r>
      <w:r w:rsidR="006A41DE" w:rsidRPr="00795B97">
        <w:rPr>
          <w:rFonts w:ascii="Arial" w:hAnsi="Arial" w:cs="Arial"/>
          <w:sz w:val="24"/>
          <w:szCs w:val="24"/>
        </w:rPr>
        <w:t xml:space="preserve">Del análisis de las demandas, este Tribunal advierte que </w:t>
      </w:r>
      <w:r w:rsidR="00040ABE">
        <w:rPr>
          <w:rFonts w:ascii="Arial" w:hAnsi="Arial" w:cs="Arial"/>
          <w:sz w:val="24"/>
          <w:szCs w:val="24"/>
        </w:rPr>
        <w:t xml:space="preserve">existe conexidad en la causa porque </w:t>
      </w:r>
      <w:r w:rsidR="006A41DE" w:rsidRPr="00795B97">
        <w:rPr>
          <w:rFonts w:ascii="Arial" w:hAnsi="Arial" w:cs="Arial"/>
          <w:sz w:val="24"/>
          <w:szCs w:val="24"/>
        </w:rPr>
        <w:t xml:space="preserve">la y el promovente impugnan el acuerdo </w:t>
      </w:r>
      <w:r w:rsidR="00040ABE">
        <w:rPr>
          <w:rFonts w:ascii="Arial" w:hAnsi="Arial" w:cs="Arial"/>
          <w:sz w:val="24"/>
          <w:szCs w:val="24"/>
        </w:rPr>
        <w:t>(</w:t>
      </w:r>
      <w:r w:rsidR="006A41DE" w:rsidRPr="00795B97">
        <w:rPr>
          <w:rFonts w:ascii="Arial" w:hAnsi="Arial" w:cs="Arial"/>
          <w:sz w:val="24"/>
          <w:szCs w:val="24"/>
        </w:rPr>
        <w:t>CG-A-26/2021</w:t>
      </w:r>
      <w:r w:rsidR="00040ABE">
        <w:rPr>
          <w:rFonts w:ascii="Arial" w:hAnsi="Arial" w:cs="Arial"/>
          <w:sz w:val="24"/>
          <w:szCs w:val="24"/>
        </w:rPr>
        <w:t>)</w:t>
      </w:r>
      <w:r w:rsidR="006A41DE" w:rsidRPr="00795B97">
        <w:rPr>
          <w:rFonts w:ascii="Arial" w:hAnsi="Arial" w:cs="Arial"/>
          <w:sz w:val="24"/>
          <w:szCs w:val="24"/>
        </w:rPr>
        <w:t xml:space="preserve"> </w:t>
      </w:r>
      <w:r w:rsidR="00040ABE">
        <w:rPr>
          <w:rFonts w:ascii="Arial" w:hAnsi="Arial" w:cs="Arial"/>
          <w:sz w:val="24"/>
          <w:szCs w:val="24"/>
        </w:rPr>
        <w:t xml:space="preserve">emitido por el Instituto local. Así que con el fin </w:t>
      </w:r>
      <w:r w:rsidR="006A41DE" w:rsidRPr="00795B97">
        <w:rPr>
          <w:rFonts w:ascii="Arial" w:hAnsi="Arial" w:cs="Arial"/>
          <w:sz w:val="24"/>
          <w:szCs w:val="24"/>
        </w:rPr>
        <w:t>de garantizar la economía procesal y evitar el dictado de fallos contradictorios, se acumula el juicio TEEA-JDC-018/2021 al diverso TEEA-JDC-016/2021, por ser éste el primero que se registró.</w:t>
      </w:r>
    </w:p>
    <w:p w14:paraId="3DC9D56B" w14:textId="030D4EF4" w:rsidR="002A2EEF" w:rsidRDefault="002A2EEF" w:rsidP="00271087">
      <w:pPr>
        <w:pStyle w:val="Sinespaciado"/>
      </w:pPr>
    </w:p>
    <w:p w14:paraId="60D53339" w14:textId="50FDAB3C" w:rsidR="006B280E" w:rsidRDefault="0017171F" w:rsidP="0017171F">
      <w:pPr>
        <w:pStyle w:val="Prrafodelista"/>
        <w:numPr>
          <w:ilvl w:val="0"/>
          <w:numId w:val="2"/>
        </w:numPr>
        <w:spacing w:line="360" w:lineRule="auto"/>
        <w:ind w:left="426" w:hanging="437"/>
        <w:jc w:val="both"/>
        <w:rPr>
          <w:rFonts w:ascii="Arial" w:hAnsi="Arial" w:cs="Arial"/>
          <w:b/>
          <w:bCs/>
          <w:sz w:val="24"/>
          <w:szCs w:val="24"/>
        </w:rPr>
      </w:pPr>
      <w:r w:rsidRPr="0017171F">
        <w:rPr>
          <w:rFonts w:ascii="Arial" w:hAnsi="Arial" w:cs="Arial"/>
          <w:b/>
          <w:bCs/>
          <w:sz w:val="24"/>
          <w:szCs w:val="24"/>
          <w:u w:val="single"/>
        </w:rPr>
        <w:t>Cuestión previa.</w:t>
      </w:r>
      <w:r w:rsidRPr="0017171F">
        <w:rPr>
          <w:rFonts w:ascii="Arial" w:hAnsi="Arial" w:cs="Arial"/>
          <w:b/>
          <w:bCs/>
          <w:sz w:val="24"/>
          <w:szCs w:val="24"/>
        </w:rPr>
        <w:t xml:space="preserve"> Contexto</w:t>
      </w:r>
    </w:p>
    <w:p w14:paraId="2E9EF54A" w14:textId="77777777" w:rsidR="009457F1" w:rsidRDefault="009457F1" w:rsidP="009457F1">
      <w:pPr>
        <w:pStyle w:val="Prrafodelista"/>
        <w:spacing w:line="360" w:lineRule="auto"/>
        <w:ind w:left="426"/>
        <w:jc w:val="both"/>
        <w:rPr>
          <w:rFonts w:ascii="Arial" w:hAnsi="Arial" w:cs="Arial"/>
          <w:b/>
          <w:bCs/>
          <w:sz w:val="24"/>
          <w:szCs w:val="24"/>
        </w:rPr>
      </w:pPr>
    </w:p>
    <w:p w14:paraId="67A07FA4" w14:textId="488BB277" w:rsidR="009457F1" w:rsidRPr="009457F1" w:rsidRDefault="009457F1" w:rsidP="009457F1">
      <w:pPr>
        <w:spacing w:line="360" w:lineRule="auto"/>
        <w:jc w:val="both"/>
        <w:rPr>
          <w:rFonts w:ascii="Arial" w:hAnsi="Arial" w:cs="Arial"/>
          <w:sz w:val="24"/>
          <w:szCs w:val="24"/>
          <w:lang w:eastAsia="es-MX"/>
        </w:rPr>
      </w:pPr>
      <w:r w:rsidRPr="009457F1">
        <w:rPr>
          <w:rFonts w:ascii="Arial" w:hAnsi="Arial" w:cs="Arial"/>
          <w:sz w:val="24"/>
          <w:szCs w:val="24"/>
          <w:lang w:eastAsia="es-MX"/>
        </w:rPr>
        <w:t>A fin de contextualizar el presente asunto es necesario señalar que el acuerdo del Instituto fue emitido en cumplimiento en lo ordenado por la Sala Regional Monterrey en la sentencia SM-JDC-59/2021, derivado de la impugnación de la promovente en la cual señal</w:t>
      </w:r>
      <w:r w:rsidR="002F2EED">
        <w:rPr>
          <w:rFonts w:ascii="Arial" w:hAnsi="Arial" w:cs="Arial"/>
          <w:sz w:val="24"/>
          <w:szCs w:val="24"/>
          <w:lang w:eastAsia="es-MX"/>
        </w:rPr>
        <w:t>ó</w:t>
      </w:r>
      <w:r w:rsidRPr="009457F1">
        <w:rPr>
          <w:rFonts w:ascii="Arial" w:hAnsi="Arial" w:cs="Arial"/>
          <w:sz w:val="24"/>
          <w:szCs w:val="24"/>
          <w:lang w:eastAsia="es-MX"/>
        </w:rPr>
        <w:t xml:space="preserve"> la omisión de la autoridad administrativa local de implementar tales medidas.</w:t>
      </w:r>
    </w:p>
    <w:p w14:paraId="1748F164" w14:textId="77777777" w:rsidR="009457F1" w:rsidRDefault="009457F1" w:rsidP="009457F1">
      <w:pPr>
        <w:spacing w:line="360" w:lineRule="auto"/>
        <w:jc w:val="both"/>
        <w:rPr>
          <w:rFonts w:ascii="Arial" w:hAnsi="Arial" w:cs="Arial"/>
          <w:sz w:val="24"/>
          <w:szCs w:val="24"/>
          <w:lang w:eastAsia="es-MX"/>
        </w:rPr>
      </w:pPr>
    </w:p>
    <w:p w14:paraId="23A413C9" w14:textId="5124C90E" w:rsidR="009457F1" w:rsidRPr="009457F1" w:rsidRDefault="002F2EED" w:rsidP="009457F1">
      <w:pPr>
        <w:spacing w:line="360" w:lineRule="auto"/>
        <w:jc w:val="both"/>
        <w:rPr>
          <w:rFonts w:ascii="Arial" w:hAnsi="Arial" w:cs="Arial"/>
          <w:sz w:val="24"/>
          <w:szCs w:val="24"/>
          <w:lang w:eastAsia="es-MX"/>
        </w:rPr>
      </w:pPr>
      <w:r>
        <w:rPr>
          <w:rFonts w:ascii="Arial" w:hAnsi="Arial" w:cs="Arial"/>
          <w:sz w:val="24"/>
          <w:szCs w:val="24"/>
          <w:lang w:eastAsia="es-MX"/>
        </w:rPr>
        <w:t>Por otro lado, es necesario señalar que</w:t>
      </w:r>
      <w:r w:rsidR="009457F1" w:rsidRPr="009457F1">
        <w:rPr>
          <w:rFonts w:ascii="Arial" w:hAnsi="Arial" w:cs="Arial"/>
          <w:sz w:val="24"/>
          <w:szCs w:val="24"/>
          <w:lang w:eastAsia="es-MX"/>
        </w:rPr>
        <w:t xml:space="preserve"> la ciudadana Salma Luévano Luna promovió un incidente de inejecución de sentencia sobre el asunto SM-JDC-59/2021, ante la Sala Monterrey quien determinó que el Instituto local no incumplió la referida sentencia, pues únicamente se le ordenó el establecimiento de una cuota específica a favor de ambos grupos minoritarios, cuestión que se actualizó con la sola emisión de lineamientos.</w:t>
      </w:r>
    </w:p>
    <w:p w14:paraId="3F02528B" w14:textId="77777777" w:rsidR="009457F1" w:rsidRDefault="009457F1" w:rsidP="009457F1">
      <w:pPr>
        <w:pStyle w:val="Sinespaciado"/>
        <w:spacing w:line="360" w:lineRule="auto"/>
        <w:jc w:val="both"/>
        <w:rPr>
          <w:rFonts w:ascii="Arial" w:hAnsi="Arial" w:cs="Arial"/>
          <w:sz w:val="24"/>
          <w:szCs w:val="24"/>
          <w:lang w:eastAsia="es-MX"/>
        </w:rPr>
      </w:pPr>
    </w:p>
    <w:p w14:paraId="202CC961" w14:textId="7DE3AAAA" w:rsidR="009457F1" w:rsidRDefault="009457F1" w:rsidP="009457F1">
      <w:pPr>
        <w:pStyle w:val="Sinespaciado"/>
        <w:spacing w:line="360" w:lineRule="auto"/>
        <w:jc w:val="both"/>
        <w:rPr>
          <w:rFonts w:ascii="Arial" w:hAnsi="Arial" w:cs="Arial"/>
          <w:sz w:val="24"/>
          <w:szCs w:val="24"/>
          <w:lang w:eastAsia="es-MX"/>
        </w:rPr>
      </w:pPr>
      <w:r w:rsidRPr="009457F1">
        <w:rPr>
          <w:rFonts w:ascii="Arial" w:hAnsi="Arial" w:cs="Arial"/>
          <w:sz w:val="24"/>
          <w:szCs w:val="24"/>
          <w:lang w:eastAsia="es-MX"/>
        </w:rPr>
        <w:t xml:space="preserve">Por su parte, la Sala Monterrey determinó que el escrito </w:t>
      </w:r>
      <w:proofErr w:type="spellStart"/>
      <w:r w:rsidRPr="009457F1">
        <w:rPr>
          <w:rFonts w:ascii="Arial" w:hAnsi="Arial" w:cs="Arial"/>
          <w:sz w:val="24"/>
          <w:szCs w:val="24"/>
          <w:lang w:eastAsia="es-MX"/>
        </w:rPr>
        <w:t>incidentista</w:t>
      </w:r>
      <w:proofErr w:type="spellEnd"/>
      <w:r w:rsidRPr="009457F1">
        <w:rPr>
          <w:rFonts w:ascii="Arial" w:hAnsi="Arial" w:cs="Arial"/>
          <w:sz w:val="24"/>
          <w:szCs w:val="24"/>
          <w:lang w:eastAsia="es-MX"/>
        </w:rPr>
        <w:t xml:space="preserve"> cumplía con los requisitos de una demanda, por tanto, ordenó reencauzarla a este Tribunal para que la conociera. </w:t>
      </w:r>
    </w:p>
    <w:p w14:paraId="22172EC6" w14:textId="77777777" w:rsidR="009457F1" w:rsidRPr="009457F1" w:rsidRDefault="009457F1" w:rsidP="009457F1">
      <w:pPr>
        <w:pStyle w:val="Sinespaciado"/>
        <w:spacing w:line="360" w:lineRule="auto"/>
        <w:jc w:val="both"/>
        <w:rPr>
          <w:lang w:eastAsia="es-MX"/>
        </w:rPr>
      </w:pPr>
    </w:p>
    <w:p w14:paraId="4BFCAA84" w14:textId="2334DF37" w:rsidR="009457F1" w:rsidRPr="009457F1" w:rsidRDefault="009457F1" w:rsidP="009457F1">
      <w:pPr>
        <w:spacing w:line="360" w:lineRule="auto"/>
        <w:jc w:val="both"/>
        <w:rPr>
          <w:rFonts w:ascii="Arial" w:hAnsi="Arial" w:cs="Arial"/>
          <w:b/>
          <w:bCs/>
          <w:sz w:val="24"/>
          <w:szCs w:val="24"/>
        </w:rPr>
      </w:pPr>
      <w:r w:rsidRPr="009457F1">
        <w:rPr>
          <w:rFonts w:ascii="Arial" w:hAnsi="Arial" w:cs="Arial"/>
          <w:sz w:val="24"/>
          <w:szCs w:val="24"/>
          <w:lang w:eastAsia="es-MX"/>
        </w:rPr>
        <w:t xml:space="preserve">Al respecto, este Tribunal advierte que los agravios planteados en tal escrito son idénticos a los que manifiesta en la demanda motivo de la presente sentencia, por tanto, lo procedente es tener a la actora ejerciendo su derecho de acción con el primer juicio ciudadano promovido, sin que ello vulnere en forma alguna su derecho de acceso a la justicia.  </w:t>
      </w:r>
    </w:p>
    <w:p w14:paraId="0ECA0C86" w14:textId="6D956548" w:rsidR="00054D63" w:rsidRPr="00795B97" w:rsidRDefault="00054D63" w:rsidP="002A2EEF">
      <w:pPr>
        <w:pStyle w:val="Sinespaciado"/>
        <w:rPr>
          <w:rFonts w:ascii="Arial" w:hAnsi="Arial" w:cs="Arial"/>
          <w:sz w:val="24"/>
          <w:szCs w:val="24"/>
        </w:rPr>
      </w:pPr>
    </w:p>
    <w:p w14:paraId="6052C44E" w14:textId="62C111DE" w:rsidR="00214F7A" w:rsidRPr="001F17C5" w:rsidRDefault="001F17C5" w:rsidP="001B2E96">
      <w:pPr>
        <w:pStyle w:val="Ttulo1"/>
        <w:numPr>
          <w:ilvl w:val="0"/>
          <w:numId w:val="2"/>
        </w:numPr>
        <w:spacing w:before="0" w:beforeAutospacing="0" w:after="0" w:afterAutospacing="0"/>
        <w:ind w:left="426" w:hanging="426"/>
        <w:contextualSpacing/>
        <w:rPr>
          <w:rFonts w:eastAsia="Times New Roman" w:cs="Arial"/>
          <w:szCs w:val="24"/>
        </w:rPr>
      </w:pPr>
      <w:bookmarkStart w:id="8" w:name="_Toc65238646"/>
      <w:r w:rsidRPr="001F17C5">
        <w:rPr>
          <w:rFonts w:eastAsia="Times New Roman" w:cs="Arial"/>
          <w:caps w:val="0"/>
          <w:szCs w:val="24"/>
        </w:rPr>
        <w:t>Estudio de fondo</w:t>
      </w:r>
      <w:bookmarkEnd w:id="8"/>
    </w:p>
    <w:p w14:paraId="15EAE143" w14:textId="77777777" w:rsidR="00054D63" w:rsidRPr="00500D98" w:rsidRDefault="00054D63" w:rsidP="00500D98">
      <w:pPr>
        <w:pStyle w:val="Sinespaciado"/>
      </w:pPr>
      <w:bookmarkStart w:id="9" w:name="_Hlk25085812"/>
    </w:p>
    <w:p w14:paraId="6ED07FE8" w14:textId="6941961D" w:rsidR="00054D63" w:rsidRPr="00795B97" w:rsidRDefault="00054D63" w:rsidP="007D5CCB">
      <w:pPr>
        <w:pStyle w:val="Ttulo1"/>
        <w:spacing w:before="0" w:beforeAutospacing="0" w:after="0" w:afterAutospacing="0"/>
        <w:jc w:val="left"/>
        <w:rPr>
          <w:rFonts w:cs="Arial"/>
          <w:b w:val="0"/>
          <w:bCs w:val="0"/>
          <w:szCs w:val="24"/>
        </w:rPr>
      </w:pPr>
      <w:bookmarkStart w:id="10" w:name="_Toc65238647"/>
      <w:r w:rsidRPr="00795B97">
        <w:rPr>
          <w:rFonts w:cs="Arial"/>
          <w:caps w:val="0"/>
          <w:szCs w:val="24"/>
          <w:u w:val="single"/>
        </w:rPr>
        <w:t>Apartado preliminar</w:t>
      </w:r>
      <w:r w:rsidRPr="00795B97">
        <w:rPr>
          <w:rFonts w:cs="Arial"/>
          <w:caps w:val="0"/>
          <w:szCs w:val="24"/>
        </w:rPr>
        <w:t>. Definición de la materia de la controversia</w:t>
      </w:r>
      <w:bookmarkEnd w:id="10"/>
      <w:r w:rsidRPr="00795B97">
        <w:rPr>
          <w:rFonts w:cs="Arial"/>
          <w:caps w:val="0"/>
          <w:szCs w:val="24"/>
        </w:rPr>
        <w:t xml:space="preserve"> </w:t>
      </w:r>
    </w:p>
    <w:p w14:paraId="4FC7ECCE" w14:textId="77777777" w:rsidR="00054D63" w:rsidRPr="00795B97" w:rsidRDefault="00054D63" w:rsidP="001B2E96">
      <w:pPr>
        <w:pStyle w:val="Sinespaciado"/>
        <w:rPr>
          <w:rFonts w:ascii="Arial" w:hAnsi="Arial" w:cs="Arial"/>
          <w:sz w:val="24"/>
          <w:szCs w:val="24"/>
        </w:rPr>
      </w:pPr>
    </w:p>
    <w:p w14:paraId="766EF900" w14:textId="61F62302" w:rsidR="00214F7A" w:rsidRPr="007D5CCB" w:rsidRDefault="00214F7A" w:rsidP="007D5CCB">
      <w:pPr>
        <w:pStyle w:val="Prrafodelista"/>
        <w:numPr>
          <w:ilvl w:val="0"/>
          <w:numId w:val="14"/>
        </w:numPr>
        <w:spacing w:line="360" w:lineRule="auto"/>
        <w:jc w:val="both"/>
        <w:rPr>
          <w:rFonts w:ascii="Arial" w:hAnsi="Arial" w:cs="Arial"/>
          <w:sz w:val="24"/>
          <w:szCs w:val="24"/>
        </w:rPr>
      </w:pPr>
      <w:r w:rsidRPr="007D5CCB">
        <w:rPr>
          <w:rFonts w:ascii="Arial" w:hAnsi="Arial" w:cs="Arial"/>
          <w:b/>
          <w:bCs/>
          <w:sz w:val="24"/>
          <w:szCs w:val="24"/>
        </w:rPr>
        <w:t>Acuerdo impugnado.</w:t>
      </w:r>
      <w:r w:rsidRPr="007D5CCB">
        <w:rPr>
          <w:rFonts w:ascii="Arial" w:hAnsi="Arial" w:cs="Arial"/>
          <w:sz w:val="24"/>
          <w:szCs w:val="24"/>
        </w:rPr>
        <w:t xml:space="preserve"> El Instituto local emitió el acuerdo que tuvo por objeto establecer las cuotas en favor de las personas que conforman la comunidad LGBTIQ+ y las que cuentan con alguna discapacidad para el proceso electoral en curso 2020-2021.  </w:t>
      </w:r>
    </w:p>
    <w:p w14:paraId="3F129798" w14:textId="77777777" w:rsidR="00214F7A" w:rsidRPr="00795B97" w:rsidRDefault="00214F7A" w:rsidP="007D5CCB">
      <w:pPr>
        <w:pStyle w:val="Sinespaciado"/>
        <w:rPr>
          <w:rFonts w:ascii="Arial" w:hAnsi="Arial" w:cs="Arial"/>
          <w:sz w:val="24"/>
          <w:szCs w:val="24"/>
        </w:rPr>
      </w:pPr>
    </w:p>
    <w:p w14:paraId="1A5367A5" w14:textId="497ADF17" w:rsidR="00214F7A" w:rsidRPr="007D5CCB" w:rsidRDefault="00214F7A" w:rsidP="007D5CCB">
      <w:pPr>
        <w:pStyle w:val="Prrafodelista"/>
        <w:numPr>
          <w:ilvl w:val="0"/>
          <w:numId w:val="14"/>
        </w:numPr>
        <w:spacing w:line="360" w:lineRule="auto"/>
        <w:jc w:val="both"/>
        <w:rPr>
          <w:rFonts w:ascii="Arial" w:hAnsi="Arial" w:cs="Arial"/>
          <w:sz w:val="24"/>
          <w:szCs w:val="24"/>
        </w:rPr>
      </w:pPr>
      <w:r w:rsidRPr="007D5CCB">
        <w:rPr>
          <w:rFonts w:ascii="Arial" w:hAnsi="Arial" w:cs="Arial"/>
          <w:b/>
          <w:bCs/>
          <w:sz w:val="24"/>
          <w:szCs w:val="24"/>
        </w:rPr>
        <w:lastRenderedPageBreak/>
        <w:t>Pretensión y planteamientos.</w:t>
      </w:r>
      <w:r w:rsidRPr="007D5CCB">
        <w:rPr>
          <w:rFonts w:ascii="Arial" w:hAnsi="Arial" w:cs="Arial"/>
          <w:sz w:val="24"/>
          <w:szCs w:val="24"/>
        </w:rPr>
        <w:t xml:space="preserve"> La y el promovente pretenden que se revoque el acuerdo reclamado, porque considera</w:t>
      </w:r>
      <w:r w:rsidR="00040ABE">
        <w:rPr>
          <w:rFonts w:ascii="Arial" w:hAnsi="Arial" w:cs="Arial"/>
          <w:sz w:val="24"/>
          <w:szCs w:val="24"/>
        </w:rPr>
        <w:t>n</w:t>
      </w:r>
      <w:r w:rsidRPr="007D5CCB">
        <w:rPr>
          <w:rFonts w:ascii="Arial" w:hAnsi="Arial" w:cs="Arial"/>
          <w:sz w:val="24"/>
          <w:szCs w:val="24"/>
        </w:rPr>
        <w:t xml:space="preserve"> que el </w:t>
      </w:r>
      <w:r w:rsidR="001B2E96" w:rsidRPr="007D5CCB">
        <w:rPr>
          <w:rFonts w:ascii="Arial" w:hAnsi="Arial" w:cs="Arial"/>
          <w:sz w:val="24"/>
          <w:szCs w:val="24"/>
        </w:rPr>
        <w:t>Instituto</w:t>
      </w:r>
      <w:r w:rsidRPr="007D5CCB">
        <w:rPr>
          <w:rFonts w:ascii="Arial" w:hAnsi="Arial" w:cs="Arial"/>
          <w:sz w:val="24"/>
          <w:szCs w:val="24"/>
        </w:rPr>
        <w:t xml:space="preserve"> local realizó de forma incorrecta el c</w:t>
      </w:r>
      <w:r w:rsidR="001B2E96" w:rsidRPr="007D5CCB">
        <w:rPr>
          <w:rFonts w:ascii="Arial" w:hAnsi="Arial" w:cs="Arial"/>
          <w:sz w:val="24"/>
          <w:szCs w:val="24"/>
        </w:rPr>
        <w:t>á</w:t>
      </w:r>
      <w:r w:rsidRPr="007D5CCB">
        <w:rPr>
          <w:rFonts w:ascii="Arial" w:hAnsi="Arial" w:cs="Arial"/>
          <w:sz w:val="24"/>
          <w:szCs w:val="24"/>
        </w:rPr>
        <w:t xml:space="preserve">lculo para </w:t>
      </w:r>
      <w:r w:rsidR="001B2E96" w:rsidRPr="007D5CCB">
        <w:rPr>
          <w:rFonts w:ascii="Arial" w:hAnsi="Arial" w:cs="Arial"/>
          <w:sz w:val="24"/>
          <w:szCs w:val="24"/>
        </w:rPr>
        <w:t>establecer</w:t>
      </w:r>
      <w:r w:rsidRPr="007D5CCB">
        <w:rPr>
          <w:rFonts w:ascii="Arial" w:hAnsi="Arial" w:cs="Arial"/>
          <w:sz w:val="24"/>
          <w:szCs w:val="24"/>
        </w:rPr>
        <w:t xml:space="preserve"> la cuota que g</w:t>
      </w:r>
      <w:r w:rsidR="001B2E96" w:rsidRPr="007D5CCB">
        <w:rPr>
          <w:rFonts w:ascii="Arial" w:hAnsi="Arial" w:cs="Arial"/>
          <w:sz w:val="24"/>
          <w:szCs w:val="24"/>
        </w:rPr>
        <w:t>a</w:t>
      </w:r>
      <w:r w:rsidRPr="007D5CCB">
        <w:rPr>
          <w:rFonts w:ascii="Arial" w:hAnsi="Arial" w:cs="Arial"/>
          <w:sz w:val="24"/>
          <w:szCs w:val="24"/>
        </w:rPr>
        <w:t>rantice la inclusión para</w:t>
      </w:r>
      <w:r w:rsidR="00040ABE">
        <w:rPr>
          <w:rFonts w:ascii="Arial" w:hAnsi="Arial" w:cs="Arial"/>
          <w:sz w:val="24"/>
          <w:szCs w:val="24"/>
        </w:rPr>
        <w:t xml:space="preserve"> ambos grupos minoritarios</w:t>
      </w:r>
      <w:r w:rsidRPr="007D5CCB">
        <w:rPr>
          <w:rFonts w:ascii="Arial" w:hAnsi="Arial" w:cs="Arial"/>
          <w:sz w:val="24"/>
          <w:szCs w:val="24"/>
        </w:rPr>
        <w:t xml:space="preserve">. Para lograr esto, plantean básicamente los </w:t>
      </w:r>
      <w:r w:rsidR="001B2E96" w:rsidRPr="007D5CCB">
        <w:rPr>
          <w:rFonts w:ascii="Arial" w:hAnsi="Arial" w:cs="Arial"/>
          <w:sz w:val="24"/>
          <w:szCs w:val="24"/>
        </w:rPr>
        <w:t>agravios</w:t>
      </w:r>
      <w:r w:rsidRPr="007D5CCB">
        <w:rPr>
          <w:rFonts w:ascii="Arial" w:hAnsi="Arial" w:cs="Arial"/>
          <w:sz w:val="24"/>
          <w:szCs w:val="24"/>
        </w:rPr>
        <w:t xml:space="preserve"> siguientes: </w:t>
      </w:r>
    </w:p>
    <w:p w14:paraId="270313C1" w14:textId="77777777" w:rsidR="00214F7A" w:rsidRPr="00271087" w:rsidRDefault="00214F7A" w:rsidP="00271087">
      <w:pPr>
        <w:pStyle w:val="Sinespaciado"/>
      </w:pPr>
    </w:p>
    <w:p w14:paraId="1CEBD83C" w14:textId="2F2C6A83" w:rsidR="00214F7A" w:rsidRDefault="00214F7A" w:rsidP="007D5CCB">
      <w:pPr>
        <w:pStyle w:val="Prrafodelista"/>
        <w:numPr>
          <w:ilvl w:val="0"/>
          <w:numId w:val="13"/>
        </w:numPr>
        <w:spacing w:line="360" w:lineRule="auto"/>
        <w:jc w:val="both"/>
        <w:rPr>
          <w:rFonts w:ascii="Arial" w:hAnsi="Arial" w:cs="Arial"/>
          <w:sz w:val="24"/>
          <w:szCs w:val="24"/>
        </w:rPr>
      </w:pPr>
      <w:r w:rsidRPr="007D5CCB">
        <w:rPr>
          <w:rFonts w:ascii="Arial" w:hAnsi="Arial" w:cs="Arial"/>
          <w:sz w:val="24"/>
          <w:szCs w:val="24"/>
        </w:rPr>
        <w:t>El acto recl</w:t>
      </w:r>
      <w:r w:rsidR="001B2E96" w:rsidRPr="007D5CCB">
        <w:rPr>
          <w:rFonts w:ascii="Arial" w:hAnsi="Arial" w:cs="Arial"/>
          <w:sz w:val="24"/>
          <w:szCs w:val="24"/>
        </w:rPr>
        <w:t>a</w:t>
      </w:r>
      <w:r w:rsidRPr="007D5CCB">
        <w:rPr>
          <w:rFonts w:ascii="Arial" w:hAnsi="Arial" w:cs="Arial"/>
          <w:sz w:val="24"/>
          <w:szCs w:val="24"/>
        </w:rPr>
        <w:t xml:space="preserve">mado es incongruente porque </w:t>
      </w:r>
      <w:r w:rsidR="001B2E96" w:rsidRPr="007D5CCB">
        <w:rPr>
          <w:rFonts w:ascii="Arial" w:hAnsi="Arial" w:cs="Arial"/>
          <w:sz w:val="24"/>
          <w:szCs w:val="24"/>
        </w:rPr>
        <w:t>s</w:t>
      </w:r>
      <w:r w:rsidRPr="007D5CCB">
        <w:rPr>
          <w:rFonts w:ascii="Arial" w:hAnsi="Arial" w:cs="Arial"/>
          <w:sz w:val="24"/>
          <w:szCs w:val="24"/>
        </w:rPr>
        <w:t>i bien la autoridad responsable consider</w:t>
      </w:r>
      <w:r w:rsidR="001B2E96" w:rsidRPr="007D5CCB">
        <w:rPr>
          <w:rFonts w:ascii="Arial" w:hAnsi="Arial" w:cs="Arial"/>
          <w:sz w:val="24"/>
          <w:szCs w:val="24"/>
        </w:rPr>
        <w:t>ó</w:t>
      </w:r>
      <w:r w:rsidRPr="007D5CCB">
        <w:rPr>
          <w:rFonts w:ascii="Arial" w:hAnsi="Arial" w:cs="Arial"/>
          <w:sz w:val="24"/>
          <w:szCs w:val="24"/>
        </w:rPr>
        <w:t xml:space="preserve"> que tomaría como base el c</w:t>
      </w:r>
      <w:r w:rsidR="001B2E96" w:rsidRPr="007D5CCB">
        <w:rPr>
          <w:rFonts w:ascii="Arial" w:hAnsi="Arial" w:cs="Arial"/>
          <w:sz w:val="24"/>
          <w:szCs w:val="24"/>
        </w:rPr>
        <w:t>álculo</w:t>
      </w:r>
      <w:r w:rsidR="00040ABE">
        <w:rPr>
          <w:rFonts w:ascii="Arial" w:hAnsi="Arial" w:cs="Arial"/>
          <w:sz w:val="24"/>
          <w:szCs w:val="24"/>
        </w:rPr>
        <w:t xml:space="preserve"> que obtuvo</w:t>
      </w:r>
      <w:r w:rsidRPr="007D5CCB">
        <w:rPr>
          <w:rFonts w:ascii="Arial" w:hAnsi="Arial" w:cs="Arial"/>
          <w:sz w:val="24"/>
          <w:szCs w:val="24"/>
        </w:rPr>
        <w:t xml:space="preserve"> para la cuota de personas con</w:t>
      </w:r>
      <w:r w:rsidR="001B2E96" w:rsidRPr="007D5CCB">
        <w:rPr>
          <w:rFonts w:ascii="Arial" w:hAnsi="Arial" w:cs="Arial"/>
          <w:sz w:val="24"/>
          <w:szCs w:val="24"/>
        </w:rPr>
        <w:t xml:space="preserve"> </w:t>
      </w:r>
      <w:r w:rsidRPr="007D5CCB">
        <w:rPr>
          <w:rFonts w:ascii="Arial" w:hAnsi="Arial" w:cs="Arial"/>
          <w:sz w:val="24"/>
          <w:szCs w:val="24"/>
        </w:rPr>
        <w:t xml:space="preserve">discapacidad, </w:t>
      </w:r>
      <w:r w:rsidR="00040ABE">
        <w:rPr>
          <w:rFonts w:ascii="Arial" w:hAnsi="Arial" w:cs="Arial"/>
          <w:sz w:val="24"/>
          <w:szCs w:val="24"/>
        </w:rPr>
        <w:t xml:space="preserve">también es que </w:t>
      </w:r>
      <w:r w:rsidRPr="007D5CCB">
        <w:rPr>
          <w:rFonts w:ascii="Arial" w:hAnsi="Arial" w:cs="Arial"/>
          <w:sz w:val="24"/>
          <w:szCs w:val="24"/>
        </w:rPr>
        <w:t xml:space="preserve">al </w:t>
      </w:r>
      <w:r w:rsidR="001B2E96" w:rsidRPr="007D5CCB">
        <w:rPr>
          <w:rFonts w:ascii="Arial" w:hAnsi="Arial" w:cs="Arial"/>
          <w:sz w:val="24"/>
          <w:szCs w:val="24"/>
        </w:rPr>
        <w:t>realizar</w:t>
      </w:r>
      <w:r w:rsidRPr="007D5CCB">
        <w:rPr>
          <w:rFonts w:ascii="Arial" w:hAnsi="Arial" w:cs="Arial"/>
          <w:sz w:val="24"/>
          <w:szCs w:val="24"/>
        </w:rPr>
        <w:t xml:space="preserve"> el </w:t>
      </w:r>
      <w:r w:rsidR="001B2E96" w:rsidRPr="007D5CCB">
        <w:rPr>
          <w:rFonts w:ascii="Arial" w:hAnsi="Arial" w:cs="Arial"/>
          <w:sz w:val="24"/>
          <w:szCs w:val="24"/>
        </w:rPr>
        <w:t>cómputo</w:t>
      </w:r>
      <w:r w:rsidRPr="007D5CCB">
        <w:rPr>
          <w:rFonts w:ascii="Arial" w:hAnsi="Arial" w:cs="Arial"/>
          <w:sz w:val="24"/>
          <w:szCs w:val="24"/>
        </w:rPr>
        <w:t xml:space="preserve"> final incluyó en una sola </w:t>
      </w:r>
      <w:r w:rsidR="001B2E96" w:rsidRPr="007D5CCB">
        <w:rPr>
          <w:rFonts w:ascii="Arial" w:hAnsi="Arial" w:cs="Arial"/>
          <w:sz w:val="24"/>
          <w:szCs w:val="24"/>
        </w:rPr>
        <w:t>cuota</w:t>
      </w:r>
      <w:r w:rsidRPr="007D5CCB">
        <w:rPr>
          <w:rFonts w:ascii="Arial" w:hAnsi="Arial" w:cs="Arial"/>
          <w:sz w:val="24"/>
          <w:szCs w:val="24"/>
        </w:rPr>
        <w:t xml:space="preserve"> a </w:t>
      </w:r>
      <w:r w:rsidR="001B2E96" w:rsidRPr="007D5CCB">
        <w:rPr>
          <w:rFonts w:ascii="Arial" w:hAnsi="Arial" w:cs="Arial"/>
          <w:sz w:val="24"/>
          <w:szCs w:val="24"/>
        </w:rPr>
        <w:t>ambos grupos</w:t>
      </w:r>
      <w:r w:rsidRPr="007D5CCB">
        <w:rPr>
          <w:rFonts w:ascii="Arial" w:hAnsi="Arial" w:cs="Arial"/>
          <w:sz w:val="24"/>
          <w:szCs w:val="24"/>
        </w:rPr>
        <w:t>, en lugar de haber gen</w:t>
      </w:r>
      <w:r w:rsidR="001B2E96" w:rsidRPr="007D5CCB">
        <w:rPr>
          <w:rFonts w:ascii="Arial" w:hAnsi="Arial" w:cs="Arial"/>
          <w:sz w:val="24"/>
          <w:szCs w:val="24"/>
        </w:rPr>
        <w:t>e</w:t>
      </w:r>
      <w:r w:rsidRPr="007D5CCB">
        <w:rPr>
          <w:rFonts w:ascii="Arial" w:hAnsi="Arial" w:cs="Arial"/>
          <w:sz w:val="24"/>
          <w:szCs w:val="24"/>
        </w:rPr>
        <w:t>rado dos cuotas con el mismo c</w:t>
      </w:r>
      <w:r w:rsidR="001B2E96" w:rsidRPr="007D5CCB">
        <w:rPr>
          <w:rFonts w:ascii="Arial" w:hAnsi="Arial" w:cs="Arial"/>
          <w:sz w:val="24"/>
          <w:szCs w:val="24"/>
        </w:rPr>
        <w:t>á</w:t>
      </w:r>
      <w:r w:rsidRPr="007D5CCB">
        <w:rPr>
          <w:rFonts w:ascii="Arial" w:hAnsi="Arial" w:cs="Arial"/>
          <w:sz w:val="24"/>
          <w:szCs w:val="24"/>
        </w:rPr>
        <w:t xml:space="preserve">lculo para tales minorías. </w:t>
      </w:r>
    </w:p>
    <w:p w14:paraId="55FEFD94" w14:textId="4047B9CF" w:rsidR="00FC2E2D" w:rsidRPr="007D5CCB" w:rsidRDefault="00FC2E2D" w:rsidP="007D5CCB">
      <w:pPr>
        <w:pStyle w:val="Prrafodelista"/>
        <w:numPr>
          <w:ilvl w:val="0"/>
          <w:numId w:val="13"/>
        </w:numPr>
        <w:spacing w:line="360" w:lineRule="auto"/>
        <w:jc w:val="both"/>
        <w:rPr>
          <w:rFonts w:ascii="Arial" w:hAnsi="Arial" w:cs="Arial"/>
          <w:sz w:val="24"/>
          <w:szCs w:val="24"/>
        </w:rPr>
      </w:pPr>
      <w:r>
        <w:rPr>
          <w:rFonts w:ascii="Arial" w:hAnsi="Arial" w:cs="Arial"/>
          <w:sz w:val="24"/>
          <w:szCs w:val="24"/>
        </w:rPr>
        <w:t>Refieren que fue indebido que la responsable no equiparara el porcentaje obtenido para las personas con alguna discapacidad, en perjuicio de la comunidad de LGBTIQ+.</w:t>
      </w:r>
    </w:p>
    <w:p w14:paraId="3ED38C69" w14:textId="77777777" w:rsidR="00214F7A" w:rsidRPr="00271087" w:rsidRDefault="00214F7A" w:rsidP="00271087">
      <w:pPr>
        <w:pStyle w:val="Sinespaciado"/>
      </w:pPr>
    </w:p>
    <w:p w14:paraId="1ED344B3" w14:textId="660089A8" w:rsidR="00214F7A" w:rsidRPr="007D5CCB" w:rsidRDefault="00214F7A" w:rsidP="007D5CCB">
      <w:pPr>
        <w:pStyle w:val="Prrafodelista"/>
        <w:numPr>
          <w:ilvl w:val="0"/>
          <w:numId w:val="13"/>
        </w:numPr>
        <w:spacing w:line="360" w:lineRule="auto"/>
        <w:jc w:val="both"/>
        <w:rPr>
          <w:rFonts w:ascii="Arial" w:hAnsi="Arial" w:cs="Arial"/>
          <w:sz w:val="24"/>
          <w:szCs w:val="24"/>
        </w:rPr>
      </w:pPr>
      <w:r w:rsidRPr="007D5CCB">
        <w:rPr>
          <w:rFonts w:ascii="Arial" w:hAnsi="Arial" w:cs="Arial"/>
          <w:sz w:val="24"/>
          <w:szCs w:val="24"/>
        </w:rPr>
        <w:t>Fue incorr</w:t>
      </w:r>
      <w:r w:rsidR="001B2E96" w:rsidRPr="007D5CCB">
        <w:rPr>
          <w:rFonts w:ascii="Arial" w:hAnsi="Arial" w:cs="Arial"/>
          <w:sz w:val="24"/>
          <w:szCs w:val="24"/>
        </w:rPr>
        <w:t>e</w:t>
      </w:r>
      <w:r w:rsidRPr="007D5CCB">
        <w:rPr>
          <w:rFonts w:ascii="Arial" w:hAnsi="Arial" w:cs="Arial"/>
          <w:sz w:val="24"/>
          <w:szCs w:val="24"/>
        </w:rPr>
        <w:t>cto que la autoridad re</w:t>
      </w:r>
      <w:r w:rsidR="001B2E96" w:rsidRPr="007D5CCB">
        <w:rPr>
          <w:rFonts w:ascii="Arial" w:hAnsi="Arial" w:cs="Arial"/>
          <w:sz w:val="24"/>
          <w:szCs w:val="24"/>
        </w:rPr>
        <w:t>s</w:t>
      </w:r>
      <w:r w:rsidRPr="007D5CCB">
        <w:rPr>
          <w:rFonts w:ascii="Arial" w:hAnsi="Arial" w:cs="Arial"/>
          <w:sz w:val="24"/>
          <w:szCs w:val="24"/>
        </w:rPr>
        <w:t>pons</w:t>
      </w:r>
      <w:r w:rsidR="001B2E96" w:rsidRPr="007D5CCB">
        <w:rPr>
          <w:rFonts w:ascii="Arial" w:hAnsi="Arial" w:cs="Arial"/>
          <w:sz w:val="24"/>
          <w:szCs w:val="24"/>
        </w:rPr>
        <w:t>a</w:t>
      </w:r>
      <w:r w:rsidRPr="007D5CCB">
        <w:rPr>
          <w:rFonts w:ascii="Arial" w:hAnsi="Arial" w:cs="Arial"/>
          <w:sz w:val="24"/>
          <w:szCs w:val="24"/>
        </w:rPr>
        <w:t>ble estableciera la posibilidad de que los pa</w:t>
      </w:r>
      <w:r w:rsidR="001B2E96" w:rsidRPr="007D5CCB">
        <w:rPr>
          <w:rFonts w:ascii="Arial" w:hAnsi="Arial" w:cs="Arial"/>
          <w:sz w:val="24"/>
          <w:szCs w:val="24"/>
        </w:rPr>
        <w:t>r</w:t>
      </w:r>
      <w:r w:rsidRPr="007D5CCB">
        <w:rPr>
          <w:rFonts w:ascii="Arial" w:hAnsi="Arial" w:cs="Arial"/>
          <w:sz w:val="24"/>
          <w:szCs w:val="24"/>
        </w:rPr>
        <w:t>tidos políticos re</w:t>
      </w:r>
      <w:r w:rsidR="001B2E96" w:rsidRPr="007D5CCB">
        <w:rPr>
          <w:rFonts w:ascii="Arial" w:hAnsi="Arial" w:cs="Arial"/>
          <w:sz w:val="24"/>
          <w:szCs w:val="24"/>
        </w:rPr>
        <w:t>a</w:t>
      </w:r>
      <w:r w:rsidRPr="007D5CCB">
        <w:rPr>
          <w:rFonts w:ascii="Arial" w:hAnsi="Arial" w:cs="Arial"/>
          <w:sz w:val="24"/>
          <w:szCs w:val="24"/>
        </w:rPr>
        <w:t>lizaran d</w:t>
      </w:r>
      <w:r w:rsidR="001B2E96" w:rsidRPr="007D5CCB">
        <w:rPr>
          <w:rFonts w:ascii="Arial" w:hAnsi="Arial" w:cs="Arial"/>
          <w:sz w:val="24"/>
          <w:szCs w:val="24"/>
        </w:rPr>
        <w:t xml:space="preserve">e </w:t>
      </w:r>
      <w:r w:rsidRPr="007D5CCB">
        <w:rPr>
          <w:rFonts w:ascii="Arial" w:hAnsi="Arial" w:cs="Arial"/>
          <w:sz w:val="24"/>
          <w:szCs w:val="24"/>
        </w:rPr>
        <w:t>forma libre las designaciones por cua</w:t>
      </w:r>
      <w:r w:rsidR="001B2E96" w:rsidRPr="007D5CCB">
        <w:rPr>
          <w:rFonts w:ascii="Arial" w:hAnsi="Arial" w:cs="Arial"/>
          <w:sz w:val="24"/>
          <w:szCs w:val="24"/>
        </w:rPr>
        <w:t>lquiera</w:t>
      </w:r>
      <w:r w:rsidRPr="007D5CCB">
        <w:rPr>
          <w:rFonts w:ascii="Arial" w:hAnsi="Arial" w:cs="Arial"/>
          <w:sz w:val="24"/>
          <w:szCs w:val="24"/>
        </w:rPr>
        <w:t xml:space="preserve"> de lo</w:t>
      </w:r>
      <w:r w:rsidR="001B2E96" w:rsidRPr="007D5CCB">
        <w:rPr>
          <w:rFonts w:ascii="Arial" w:hAnsi="Arial" w:cs="Arial"/>
          <w:sz w:val="24"/>
          <w:szCs w:val="24"/>
        </w:rPr>
        <w:t>s</w:t>
      </w:r>
      <w:r w:rsidRPr="007D5CCB">
        <w:rPr>
          <w:rFonts w:ascii="Arial" w:hAnsi="Arial" w:cs="Arial"/>
          <w:sz w:val="24"/>
          <w:szCs w:val="24"/>
        </w:rPr>
        <w:t xml:space="preserve"> municipios </w:t>
      </w:r>
      <w:r w:rsidR="001B2E96" w:rsidRPr="007D5CCB">
        <w:rPr>
          <w:rFonts w:ascii="Arial" w:hAnsi="Arial" w:cs="Arial"/>
          <w:sz w:val="24"/>
          <w:szCs w:val="24"/>
        </w:rPr>
        <w:t>d</w:t>
      </w:r>
      <w:r w:rsidRPr="007D5CCB">
        <w:rPr>
          <w:rFonts w:ascii="Arial" w:hAnsi="Arial" w:cs="Arial"/>
          <w:sz w:val="24"/>
          <w:szCs w:val="24"/>
        </w:rPr>
        <w:t>e esta entidad federativa</w:t>
      </w:r>
      <w:r w:rsidR="001B2E96" w:rsidRPr="007D5CCB">
        <w:rPr>
          <w:rFonts w:ascii="Arial" w:hAnsi="Arial" w:cs="Arial"/>
          <w:sz w:val="24"/>
          <w:szCs w:val="24"/>
        </w:rPr>
        <w:t>.</w:t>
      </w:r>
    </w:p>
    <w:p w14:paraId="0A71C619" w14:textId="77777777" w:rsidR="00214F7A" w:rsidRPr="00795B97" w:rsidRDefault="00214F7A" w:rsidP="00271087">
      <w:pPr>
        <w:pStyle w:val="Sinespaciado"/>
      </w:pPr>
    </w:p>
    <w:p w14:paraId="795FC840" w14:textId="16986E4E" w:rsidR="007D5CCB" w:rsidRDefault="00214F7A" w:rsidP="00795B97">
      <w:pPr>
        <w:pStyle w:val="Prrafodelista"/>
        <w:numPr>
          <w:ilvl w:val="0"/>
          <w:numId w:val="13"/>
        </w:numPr>
        <w:spacing w:line="360" w:lineRule="auto"/>
        <w:jc w:val="both"/>
        <w:rPr>
          <w:rFonts w:ascii="Arial" w:hAnsi="Arial" w:cs="Arial"/>
          <w:sz w:val="24"/>
          <w:szCs w:val="24"/>
        </w:rPr>
      </w:pPr>
      <w:r w:rsidRPr="007D5CCB">
        <w:rPr>
          <w:rFonts w:ascii="Arial" w:hAnsi="Arial" w:cs="Arial"/>
          <w:sz w:val="24"/>
          <w:szCs w:val="24"/>
        </w:rPr>
        <w:t xml:space="preserve">La </w:t>
      </w:r>
      <w:r w:rsidR="001B2E96" w:rsidRPr="007D5CCB">
        <w:rPr>
          <w:rFonts w:ascii="Arial" w:hAnsi="Arial" w:cs="Arial"/>
          <w:sz w:val="24"/>
          <w:szCs w:val="24"/>
        </w:rPr>
        <w:t>a</w:t>
      </w:r>
      <w:r w:rsidRPr="007D5CCB">
        <w:rPr>
          <w:rFonts w:ascii="Arial" w:hAnsi="Arial" w:cs="Arial"/>
          <w:sz w:val="24"/>
          <w:szCs w:val="24"/>
        </w:rPr>
        <w:t>utoridad responsable fue omi</w:t>
      </w:r>
      <w:r w:rsidR="001B2E96" w:rsidRPr="007D5CCB">
        <w:rPr>
          <w:rFonts w:ascii="Arial" w:hAnsi="Arial" w:cs="Arial"/>
          <w:sz w:val="24"/>
          <w:szCs w:val="24"/>
        </w:rPr>
        <w:t>s</w:t>
      </w:r>
      <w:r w:rsidRPr="007D5CCB">
        <w:rPr>
          <w:rFonts w:ascii="Arial" w:hAnsi="Arial" w:cs="Arial"/>
          <w:sz w:val="24"/>
          <w:szCs w:val="24"/>
        </w:rPr>
        <w:t>a en</w:t>
      </w:r>
      <w:r w:rsidR="00040ABE">
        <w:rPr>
          <w:rFonts w:ascii="Arial" w:hAnsi="Arial" w:cs="Arial"/>
          <w:sz w:val="24"/>
          <w:szCs w:val="24"/>
        </w:rPr>
        <w:t xml:space="preserve"> establecer mecanismos que prohibiera</w:t>
      </w:r>
      <w:r w:rsidR="006B280E">
        <w:rPr>
          <w:rFonts w:ascii="Arial" w:hAnsi="Arial" w:cs="Arial"/>
          <w:sz w:val="24"/>
          <w:szCs w:val="24"/>
        </w:rPr>
        <w:t>n</w:t>
      </w:r>
      <w:r w:rsidR="00040ABE">
        <w:rPr>
          <w:rFonts w:ascii="Arial" w:hAnsi="Arial" w:cs="Arial"/>
          <w:sz w:val="24"/>
          <w:szCs w:val="24"/>
        </w:rPr>
        <w:t xml:space="preserve"> a</w:t>
      </w:r>
      <w:r w:rsidR="00AB3D50">
        <w:rPr>
          <w:rFonts w:ascii="Arial" w:hAnsi="Arial" w:cs="Arial"/>
          <w:sz w:val="24"/>
          <w:szCs w:val="24"/>
        </w:rPr>
        <w:t xml:space="preserve"> los partidos políticos</w:t>
      </w:r>
      <w:r w:rsidRPr="007D5CCB">
        <w:rPr>
          <w:rFonts w:ascii="Arial" w:hAnsi="Arial" w:cs="Arial"/>
          <w:sz w:val="24"/>
          <w:szCs w:val="24"/>
        </w:rPr>
        <w:t xml:space="preserve"> postular a las personas pertenecientes a ambos grupos minoritarios en los distritos y municipios con </w:t>
      </w:r>
      <w:r w:rsidR="006B280E">
        <w:rPr>
          <w:rFonts w:ascii="Arial" w:hAnsi="Arial" w:cs="Arial"/>
          <w:sz w:val="24"/>
          <w:szCs w:val="24"/>
        </w:rPr>
        <w:t>menor</w:t>
      </w:r>
      <w:r w:rsidRPr="007D5CCB">
        <w:rPr>
          <w:rFonts w:ascii="Arial" w:hAnsi="Arial" w:cs="Arial"/>
          <w:sz w:val="24"/>
          <w:szCs w:val="24"/>
        </w:rPr>
        <w:t xml:space="preserve"> rentabilidad. Asimismo, fue </w:t>
      </w:r>
      <w:r w:rsidR="001B2E96" w:rsidRPr="007D5CCB">
        <w:rPr>
          <w:rFonts w:ascii="Arial" w:hAnsi="Arial" w:cs="Arial"/>
          <w:sz w:val="24"/>
          <w:szCs w:val="24"/>
        </w:rPr>
        <w:t>omiso</w:t>
      </w:r>
      <w:r w:rsidRPr="007D5CCB">
        <w:rPr>
          <w:rFonts w:ascii="Arial" w:hAnsi="Arial" w:cs="Arial"/>
          <w:sz w:val="24"/>
          <w:szCs w:val="24"/>
        </w:rPr>
        <w:t xml:space="preserve"> en establecer cuotas en los primeros lugares de </w:t>
      </w:r>
      <w:r w:rsidR="001B2E96" w:rsidRPr="007D5CCB">
        <w:rPr>
          <w:rFonts w:ascii="Arial" w:hAnsi="Arial" w:cs="Arial"/>
          <w:sz w:val="24"/>
          <w:szCs w:val="24"/>
        </w:rPr>
        <w:t>las listas</w:t>
      </w:r>
      <w:r w:rsidRPr="007D5CCB">
        <w:rPr>
          <w:rFonts w:ascii="Arial" w:hAnsi="Arial" w:cs="Arial"/>
          <w:sz w:val="24"/>
          <w:szCs w:val="24"/>
        </w:rPr>
        <w:t xml:space="preserve"> de representación </w:t>
      </w:r>
      <w:r w:rsidR="001B2E96" w:rsidRPr="007D5CCB">
        <w:rPr>
          <w:rFonts w:ascii="Arial" w:hAnsi="Arial" w:cs="Arial"/>
          <w:sz w:val="24"/>
          <w:szCs w:val="24"/>
        </w:rPr>
        <w:t>proporcional</w:t>
      </w:r>
      <w:r w:rsidRPr="007D5CCB">
        <w:rPr>
          <w:rFonts w:ascii="Arial" w:hAnsi="Arial" w:cs="Arial"/>
          <w:sz w:val="24"/>
          <w:szCs w:val="24"/>
        </w:rPr>
        <w:t xml:space="preserve"> a fin de</w:t>
      </w:r>
      <w:r w:rsidR="001B2E96" w:rsidRPr="007D5CCB">
        <w:rPr>
          <w:rFonts w:ascii="Arial" w:hAnsi="Arial" w:cs="Arial"/>
          <w:sz w:val="24"/>
          <w:szCs w:val="24"/>
        </w:rPr>
        <w:t xml:space="preserve"> </w:t>
      </w:r>
      <w:r w:rsidRPr="007D5CCB">
        <w:rPr>
          <w:rFonts w:ascii="Arial" w:hAnsi="Arial" w:cs="Arial"/>
          <w:sz w:val="24"/>
          <w:szCs w:val="24"/>
        </w:rPr>
        <w:t>garantizar un acceso real a alg</w:t>
      </w:r>
      <w:r w:rsidR="001B2E96" w:rsidRPr="007D5CCB">
        <w:rPr>
          <w:rFonts w:ascii="Arial" w:hAnsi="Arial" w:cs="Arial"/>
          <w:sz w:val="24"/>
          <w:szCs w:val="24"/>
        </w:rPr>
        <w:t>ú</w:t>
      </w:r>
      <w:r w:rsidRPr="007D5CCB">
        <w:rPr>
          <w:rFonts w:ascii="Arial" w:hAnsi="Arial" w:cs="Arial"/>
          <w:sz w:val="24"/>
          <w:szCs w:val="24"/>
        </w:rPr>
        <w:t xml:space="preserve">n cargo de elección popular. </w:t>
      </w:r>
    </w:p>
    <w:p w14:paraId="33160D57" w14:textId="34760C69" w:rsidR="006B280E" w:rsidRDefault="006B280E" w:rsidP="006B280E">
      <w:pPr>
        <w:pStyle w:val="Sinespaciado"/>
      </w:pPr>
    </w:p>
    <w:p w14:paraId="2FC6E386" w14:textId="77777777" w:rsidR="006B280E" w:rsidRPr="006B280E" w:rsidRDefault="006B280E" w:rsidP="006B280E">
      <w:pPr>
        <w:pStyle w:val="Sinespaciado"/>
      </w:pPr>
    </w:p>
    <w:p w14:paraId="198F993B" w14:textId="07ED356B" w:rsidR="00054D63" w:rsidRPr="00795B97" w:rsidRDefault="00054D63" w:rsidP="007D5CCB">
      <w:pPr>
        <w:pStyle w:val="Ttulo1"/>
        <w:spacing w:before="0" w:beforeAutospacing="0" w:after="0" w:afterAutospacing="0"/>
        <w:jc w:val="left"/>
        <w:rPr>
          <w:rFonts w:cs="Arial"/>
          <w:caps w:val="0"/>
          <w:szCs w:val="24"/>
        </w:rPr>
      </w:pPr>
      <w:bookmarkStart w:id="11" w:name="_Toc65238648"/>
      <w:r w:rsidRPr="00795B97">
        <w:rPr>
          <w:rFonts w:cs="Arial"/>
          <w:caps w:val="0"/>
          <w:szCs w:val="24"/>
          <w:u w:val="single"/>
        </w:rPr>
        <w:t>Apartado I.</w:t>
      </w:r>
      <w:r w:rsidRPr="00795B97">
        <w:rPr>
          <w:rFonts w:cs="Arial"/>
          <w:caps w:val="0"/>
          <w:szCs w:val="24"/>
        </w:rPr>
        <w:t xml:space="preserve"> Decisión</w:t>
      </w:r>
      <w:bookmarkEnd w:id="11"/>
      <w:r w:rsidRPr="00795B97">
        <w:rPr>
          <w:rFonts w:cs="Arial"/>
          <w:caps w:val="0"/>
          <w:szCs w:val="24"/>
        </w:rPr>
        <w:t xml:space="preserve"> </w:t>
      </w:r>
    </w:p>
    <w:p w14:paraId="37CA521A" w14:textId="77777777" w:rsidR="00D61816" w:rsidRPr="00795B97" w:rsidRDefault="00D61816" w:rsidP="00271087">
      <w:pPr>
        <w:pStyle w:val="Sinespaciado"/>
      </w:pPr>
    </w:p>
    <w:p w14:paraId="1E50229F" w14:textId="0D1F7324" w:rsidR="00D61816" w:rsidRDefault="00214F7A" w:rsidP="00795B97">
      <w:pPr>
        <w:spacing w:line="360" w:lineRule="auto"/>
        <w:jc w:val="both"/>
        <w:rPr>
          <w:rFonts w:ascii="Arial" w:hAnsi="Arial" w:cs="Arial"/>
          <w:sz w:val="24"/>
          <w:szCs w:val="24"/>
        </w:rPr>
      </w:pPr>
      <w:r w:rsidRPr="00795B97">
        <w:rPr>
          <w:rFonts w:ascii="Arial" w:hAnsi="Arial" w:cs="Arial"/>
          <w:sz w:val="24"/>
          <w:szCs w:val="24"/>
        </w:rPr>
        <w:t>Este Tribunal</w:t>
      </w:r>
      <w:r w:rsidR="00D61816" w:rsidRPr="00795B97">
        <w:rPr>
          <w:rFonts w:ascii="Arial" w:hAnsi="Arial" w:cs="Arial"/>
          <w:sz w:val="24"/>
          <w:szCs w:val="24"/>
        </w:rPr>
        <w:t xml:space="preserve"> considera que </w:t>
      </w:r>
      <w:r w:rsidR="00D61816" w:rsidRPr="00271087">
        <w:rPr>
          <w:rFonts w:ascii="Arial" w:hAnsi="Arial" w:cs="Arial"/>
          <w:b/>
          <w:bCs/>
          <w:sz w:val="24"/>
          <w:szCs w:val="24"/>
        </w:rPr>
        <w:t xml:space="preserve">debe </w:t>
      </w:r>
      <w:r w:rsidR="00675FAF">
        <w:rPr>
          <w:rFonts w:ascii="Arial" w:hAnsi="Arial" w:cs="Arial"/>
          <w:b/>
          <w:bCs/>
          <w:sz w:val="24"/>
          <w:szCs w:val="24"/>
        </w:rPr>
        <w:t>confirmarse</w:t>
      </w:r>
      <w:r w:rsidR="00D61816" w:rsidRPr="00271087">
        <w:rPr>
          <w:rFonts w:ascii="Arial" w:hAnsi="Arial" w:cs="Arial"/>
          <w:b/>
          <w:bCs/>
          <w:sz w:val="24"/>
          <w:szCs w:val="24"/>
        </w:rPr>
        <w:t xml:space="preserve"> </w:t>
      </w:r>
      <w:r w:rsidR="00D61816" w:rsidRPr="00795B97">
        <w:rPr>
          <w:rFonts w:ascii="Arial" w:hAnsi="Arial" w:cs="Arial"/>
          <w:sz w:val="24"/>
          <w:szCs w:val="24"/>
        </w:rPr>
        <w:t>el acuerdo del Instituto local que estableci</w:t>
      </w:r>
      <w:r w:rsidR="0033783A">
        <w:rPr>
          <w:rFonts w:ascii="Arial" w:hAnsi="Arial" w:cs="Arial"/>
          <w:sz w:val="24"/>
          <w:szCs w:val="24"/>
        </w:rPr>
        <w:t>ó</w:t>
      </w:r>
      <w:r w:rsidR="00D61816" w:rsidRPr="00795B97">
        <w:rPr>
          <w:rFonts w:ascii="Arial" w:hAnsi="Arial" w:cs="Arial"/>
          <w:sz w:val="24"/>
          <w:szCs w:val="24"/>
        </w:rPr>
        <w:t xml:space="preserve"> </w:t>
      </w:r>
      <w:r w:rsidR="00E54745" w:rsidRPr="00795B97">
        <w:rPr>
          <w:rFonts w:ascii="Arial" w:hAnsi="Arial" w:cs="Arial"/>
          <w:sz w:val="24"/>
          <w:szCs w:val="24"/>
        </w:rPr>
        <w:t>la cuota</w:t>
      </w:r>
      <w:r w:rsidR="00D61816" w:rsidRPr="00795B97">
        <w:rPr>
          <w:rFonts w:ascii="Arial" w:hAnsi="Arial" w:cs="Arial"/>
          <w:sz w:val="24"/>
          <w:szCs w:val="24"/>
        </w:rPr>
        <w:t xml:space="preserve"> en favor de las personas que conforman la comunidad LGBTIQ+ y las que cuentan con alguna discapacidad</w:t>
      </w:r>
      <w:r w:rsidR="00271087">
        <w:rPr>
          <w:rFonts w:ascii="Arial" w:hAnsi="Arial" w:cs="Arial"/>
          <w:sz w:val="24"/>
          <w:szCs w:val="24"/>
        </w:rPr>
        <w:t>,</w:t>
      </w:r>
      <w:r w:rsidR="00D61816" w:rsidRPr="00795B97">
        <w:rPr>
          <w:rFonts w:ascii="Arial" w:hAnsi="Arial" w:cs="Arial"/>
          <w:sz w:val="24"/>
          <w:szCs w:val="24"/>
        </w:rPr>
        <w:t xml:space="preserve"> para el proce</w:t>
      </w:r>
      <w:r w:rsidR="00AB3D50">
        <w:rPr>
          <w:rFonts w:ascii="Arial" w:hAnsi="Arial" w:cs="Arial"/>
          <w:sz w:val="24"/>
          <w:szCs w:val="24"/>
        </w:rPr>
        <w:t>so electoral en curso 2020-2021</w:t>
      </w:r>
      <w:r w:rsidR="002F2EED">
        <w:rPr>
          <w:rFonts w:ascii="Arial" w:hAnsi="Arial" w:cs="Arial"/>
          <w:sz w:val="24"/>
          <w:szCs w:val="24"/>
        </w:rPr>
        <w:t>.</w:t>
      </w:r>
      <w:r w:rsidR="00D61816" w:rsidRPr="00795B97">
        <w:rPr>
          <w:rFonts w:ascii="Arial" w:hAnsi="Arial" w:cs="Arial"/>
          <w:sz w:val="24"/>
          <w:szCs w:val="24"/>
        </w:rPr>
        <w:t xml:space="preserve"> </w:t>
      </w:r>
    </w:p>
    <w:p w14:paraId="646D61B0" w14:textId="77777777" w:rsidR="007D5CCB" w:rsidRPr="00795B97" w:rsidRDefault="007D5CCB" w:rsidP="00795B97">
      <w:pPr>
        <w:pStyle w:val="Sinespaciado"/>
        <w:spacing w:line="360" w:lineRule="auto"/>
        <w:rPr>
          <w:rFonts w:ascii="Arial" w:hAnsi="Arial" w:cs="Arial"/>
          <w:sz w:val="24"/>
          <w:szCs w:val="24"/>
          <w:lang w:eastAsia="es-MX"/>
        </w:rPr>
      </w:pPr>
    </w:p>
    <w:p w14:paraId="60FF3D8A" w14:textId="5EDABCBC" w:rsidR="00054D63" w:rsidRPr="00795B97" w:rsidRDefault="0017171F" w:rsidP="00795B97">
      <w:pPr>
        <w:pStyle w:val="Ttulo1"/>
        <w:spacing w:before="0" w:beforeAutospacing="0" w:after="0" w:afterAutospacing="0"/>
        <w:jc w:val="left"/>
        <w:rPr>
          <w:rFonts w:cs="Arial"/>
          <w:caps w:val="0"/>
          <w:szCs w:val="24"/>
          <w:lang w:eastAsia="es-MX"/>
        </w:rPr>
      </w:pPr>
      <w:bookmarkStart w:id="12" w:name="_Toc65238649"/>
      <w:r w:rsidRPr="00795B97">
        <w:rPr>
          <w:rFonts w:cs="Arial"/>
          <w:caps w:val="0"/>
          <w:szCs w:val="24"/>
          <w:u w:val="single"/>
        </w:rPr>
        <w:t>Apartado II.</w:t>
      </w:r>
      <w:r w:rsidR="00271087" w:rsidRPr="00795B97">
        <w:rPr>
          <w:rFonts w:cs="Arial"/>
          <w:caps w:val="0"/>
          <w:szCs w:val="24"/>
        </w:rPr>
        <w:t xml:space="preserve"> </w:t>
      </w:r>
      <w:r w:rsidRPr="00795B97">
        <w:rPr>
          <w:rFonts w:cs="Arial"/>
          <w:caps w:val="0"/>
          <w:szCs w:val="24"/>
          <w:lang w:eastAsia="es-MX"/>
        </w:rPr>
        <w:t>Desarrollo y justificación de la decisión</w:t>
      </w:r>
      <w:bookmarkEnd w:id="12"/>
    </w:p>
    <w:p w14:paraId="4C3468C9" w14:textId="77777777" w:rsidR="00D51A72" w:rsidRPr="00795B97" w:rsidRDefault="00D51A72" w:rsidP="007D5CCB">
      <w:pPr>
        <w:pStyle w:val="Sinespaciado"/>
        <w:rPr>
          <w:rFonts w:ascii="Arial" w:hAnsi="Arial" w:cs="Arial"/>
          <w:sz w:val="24"/>
          <w:szCs w:val="24"/>
        </w:rPr>
      </w:pPr>
    </w:p>
    <w:p w14:paraId="11A4C79B" w14:textId="77777777" w:rsidR="00D51A72" w:rsidRPr="00271087" w:rsidRDefault="00D51A72" w:rsidP="00795B97">
      <w:pPr>
        <w:pStyle w:val="Prrafodelista"/>
        <w:numPr>
          <w:ilvl w:val="1"/>
          <w:numId w:val="8"/>
        </w:numPr>
        <w:spacing w:line="360" w:lineRule="auto"/>
        <w:rPr>
          <w:rFonts w:ascii="Arial" w:hAnsi="Arial" w:cs="Arial"/>
          <w:b/>
          <w:bCs/>
          <w:sz w:val="24"/>
          <w:szCs w:val="24"/>
        </w:rPr>
      </w:pPr>
      <w:r w:rsidRPr="00271087">
        <w:rPr>
          <w:rFonts w:ascii="Arial" w:hAnsi="Arial" w:cs="Arial"/>
          <w:b/>
          <w:bCs/>
          <w:sz w:val="24"/>
          <w:szCs w:val="24"/>
        </w:rPr>
        <w:t>Comunidad LGBTIQ+</w:t>
      </w:r>
    </w:p>
    <w:p w14:paraId="798A3DF4" w14:textId="77777777" w:rsidR="00D51A72" w:rsidRPr="0017171F" w:rsidRDefault="00D51A72" w:rsidP="0017171F">
      <w:pPr>
        <w:pStyle w:val="Sinespaciado"/>
      </w:pPr>
    </w:p>
    <w:p w14:paraId="47779FC5" w14:textId="2BECB5B7" w:rsidR="00D51A72" w:rsidRPr="00795B97" w:rsidRDefault="00D51A72" w:rsidP="00795B97">
      <w:pPr>
        <w:spacing w:line="360" w:lineRule="auto"/>
        <w:jc w:val="both"/>
        <w:rPr>
          <w:rFonts w:ascii="Arial" w:hAnsi="Arial" w:cs="Arial"/>
          <w:sz w:val="24"/>
          <w:szCs w:val="24"/>
        </w:rPr>
      </w:pPr>
      <w:r w:rsidRPr="00795B97">
        <w:rPr>
          <w:rFonts w:ascii="Arial" w:hAnsi="Arial" w:cs="Arial"/>
          <w:bCs/>
          <w:sz w:val="24"/>
          <w:szCs w:val="24"/>
        </w:rPr>
        <w:t>El artículo 1º Constitucional</w:t>
      </w:r>
      <w:r w:rsidRPr="00795B97">
        <w:rPr>
          <w:rFonts w:ascii="Arial" w:hAnsi="Arial" w:cs="Arial"/>
          <w:bCs/>
          <w:sz w:val="24"/>
          <w:szCs w:val="24"/>
          <w:vertAlign w:val="superscript"/>
        </w:rPr>
        <w:footnoteReference w:id="3"/>
      </w:r>
      <w:r w:rsidRPr="00795B97">
        <w:rPr>
          <w:rFonts w:ascii="Arial" w:hAnsi="Arial" w:cs="Arial"/>
          <w:bCs/>
          <w:sz w:val="24"/>
          <w:szCs w:val="24"/>
        </w:rPr>
        <w:t xml:space="preserve"> establece la obligación de todas </w:t>
      </w:r>
      <w:r w:rsidRPr="00795B97">
        <w:rPr>
          <w:rFonts w:ascii="Arial" w:hAnsi="Arial" w:cs="Arial"/>
          <w:sz w:val="24"/>
          <w:szCs w:val="24"/>
        </w:rPr>
        <w:t xml:space="preserve">las autoridades del país en su ámbito </w:t>
      </w:r>
      <w:r w:rsidR="00AC4BE2">
        <w:rPr>
          <w:rFonts w:ascii="Arial" w:hAnsi="Arial" w:cs="Arial"/>
          <w:sz w:val="24"/>
          <w:szCs w:val="24"/>
        </w:rPr>
        <w:t>de competencia</w:t>
      </w:r>
      <w:r w:rsidRPr="00795B97">
        <w:rPr>
          <w:rFonts w:ascii="Arial" w:hAnsi="Arial" w:cs="Arial"/>
          <w:bCs/>
          <w:sz w:val="24"/>
          <w:szCs w:val="24"/>
        </w:rPr>
        <w:t xml:space="preserve">, de velar por los derechos humanos </w:t>
      </w:r>
      <w:r w:rsidR="00AC4BE2">
        <w:rPr>
          <w:rFonts w:ascii="Arial" w:hAnsi="Arial" w:cs="Arial"/>
          <w:bCs/>
          <w:sz w:val="24"/>
          <w:szCs w:val="24"/>
        </w:rPr>
        <w:t xml:space="preserve">previstos </w:t>
      </w:r>
      <w:r w:rsidRPr="00795B97">
        <w:rPr>
          <w:rFonts w:ascii="Arial" w:hAnsi="Arial" w:cs="Arial"/>
          <w:bCs/>
          <w:sz w:val="24"/>
          <w:szCs w:val="24"/>
        </w:rPr>
        <w:t xml:space="preserve">en la norma </w:t>
      </w:r>
      <w:r w:rsidRPr="00795B97">
        <w:rPr>
          <w:rFonts w:ascii="Arial" w:hAnsi="Arial" w:cs="Arial"/>
          <w:bCs/>
          <w:sz w:val="24"/>
          <w:szCs w:val="24"/>
        </w:rPr>
        <w:lastRenderedPageBreak/>
        <w:t>fundamental y en los instrumentos interna</w:t>
      </w:r>
      <w:r w:rsidR="00AC4BE2">
        <w:rPr>
          <w:rFonts w:ascii="Arial" w:hAnsi="Arial" w:cs="Arial"/>
          <w:bCs/>
          <w:sz w:val="24"/>
          <w:szCs w:val="24"/>
        </w:rPr>
        <w:t>cionales suscritos por México. A</w:t>
      </w:r>
      <w:r w:rsidRPr="00795B97">
        <w:rPr>
          <w:rFonts w:ascii="Arial" w:hAnsi="Arial" w:cs="Arial"/>
          <w:bCs/>
          <w:sz w:val="24"/>
          <w:szCs w:val="24"/>
        </w:rPr>
        <w:t>simismo</w:t>
      </w:r>
      <w:r w:rsidR="00AC4BE2">
        <w:rPr>
          <w:rFonts w:ascii="Arial" w:hAnsi="Arial" w:cs="Arial"/>
          <w:bCs/>
          <w:sz w:val="24"/>
          <w:szCs w:val="24"/>
        </w:rPr>
        <w:t>,</w:t>
      </w:r>
      <w:r w:rsidRPr="00795B97">
        <w:rPr>
          <w:rFonts w:ascii="Arial" w:hAnsi="Arial" w:cs="Arial"/>
          <w:bCs/>
          <w:sz w:val="24"/>
          <w:szCs w:val="24"/>
        </w:rPr>
        <w:t xml:space="preserve"> señala que </w:t>
      </w:r>
      <w:r w:rsidRPr="00795B97">
        <w:rPr>
          <w:rFonts w:ascii="Arial" w:hAnsi="Arial" w:cs="Arial"/>
          <w:sz w:val="24"/>
          <w:szCs w:val="24"/>
        </w:rPr>
        <w:t>cualquier autoridad debe preferir la interpretación más favorable al derecho humano de que se trate.</w:t>
      </w:r>
    </w:p>
    <w:p w14:paraId="53391238" w14:textId="77777777" w:rsidR="00D51A72" w:rsidRPr="00795B97" w:rsidRDefault="00D51A72" w:rsidP="0017171F">
      <w:pPr>
        <w:pStyle w:val="Sinespaciado"/>
      </w:pPr>
    </w:p>
    <w:p w14:paraId="4F7CDD63" w14:textId="77AF914A" w:rsidR="00D51A72" w:rsidRPr="00795B97" w:rsidRDefault="00D51A72" w:rsidP="00795B97">
      <w:pPr>
        <w:spacing w:line="360" w:lineRule="auto"/>
        <w:jc w:val="both"/>
        <w:rPr>
          <w:rFonts w:ascii="Arial" w:hAnsi="Arial" w:cs="Arial"/>
          <w:sz w:val="24"/>
          <w:szCs w:val="24"/>
        </w:rPr>
      </w:pPr>
      <w:r w:rsidRPr="00795B97">
        <w:rPr>
          <w:rFonts w:ascii="Arial" w:hAnsi="Arial" w:cs="Arial"/>
          <w:sz w:val="24"/>
          <w:szCs w:val="24"/>
        </w:rPr>
        <w:t>Además</w:t>
      </w:r>
      <w:r w:rsidR="00AC4BE2">
        <w:rPr>
          <w:rFonts w:ascii="Arial" w:hAnsi="Arial" w:cs="Arial"/>
          <w:sz w:val="24"/>
          <w:szCs w:val="24"/>
        </w:rPr>
        <w:t>, prohíbe todo tipo de</w:t>
      </w:r>
      <w:r w:rsidRPr="00795B97">
        <w:rPr>
          <w:rFonts w:ascii="Arial" w:hAnsi="Arial" w:cs="Arial"/>
          <w:sz w:val="24"/>
          <w:szCs w:val="24"/>
        </w:rPr>
        <w:t xml:space="preserve"> discriminación motivada por origen étnico o nacional, el género, la edad, la discapacidad, la orientación sexual o identidad de género; o cualquier otra que atente contra la dignidad humana y que tenga por objeto el menoscabo o anulación de los derechos y libertades de las personas.</w:t>
      </w:r>
    </w:p>
    <w:p w14:paraId="04460027" w14:textId="77777777" w:rsidR="00D51A72" w:rsidRPr="0017171F" w:rsidRDefault="00D51A72" w:rsidP="0017171F">
      <w:pPr>
        <w:pStyle w:val="Sinespaciado"/>
      </w:pPr>
    </w:p>
    <w:p w14:paraId="1310F8EF" w14:textId="08876D1D" w:rsidR="00271087" w:rsidRDefault="00D51A72" w:rsidP="00795B97">
      <w:pPr>
        <w:spacing w:line="360" w:lineRule="auto"/>
        <w:jc w:val="both"/>
        <w:rPr>
          <w:rFonts w:ascii="Arial" w:hAnsi="Arial" w:cs="Arial"/>
          <w:sz w:val="24"/>
          <w:szCs w:val="24"/>
        </w:rPr>
      </w:pPr>
      <w:r w:rsidRPr="00795B97">
        <w:rPr>
          <w:rFonts w:ascii="Arial" w:hAnsi="Arial" w:cs="Arial"/>
          <w:sz w:val="24"/>
          <w:szCs w:val="24"/>
        </w:rPr>
        <w:t>Por otra parte,</w:t>
      </w:r>
      <w:r w:rsidR="00AC4BE2">
        <w:rPr>
          <w:rFonts w:ascii="Arial" w:hAnsi="Arial" w:cs="Arial"/>
          <w:sz w:val="24"/>
          <w:szCs w:val="24"/>
        </w:rPr>
        <w:t xml:space="preserve"> en el ámbito internacional,</w:t>
      </w:r>
      <w:r w:rsidRPr="00795B97">
        <w:rPr>
          <w:rFonts w:ascii="Arial" w:hAnsi="Arial" w:cs="Arial"/>
          <w:sz w:val="24"/>
          <w:szCs w:val="24"/>
        </w:rPr>
        <w:t xml:space="preserve"> la Corte Interamericana</w:t>
      </w:r>
      <w:r w:rsidRPr="00795B97">
        <w:rPr>
          <w:rStyle w:val="Refdenotaalpie"/>
          <w:rFonts w:ascii="Arial" w:hAnsi="Arial" w:cs="Arial"/>
          <w:sz w:val="24"/>
          <w:szCs w:val="24"/>
        </w:rPr>
        <w:footnoteReference w:id="4"/>
      </w:r>
      <w:r w:rsidR="00AC4BE2">
        <w:rPr>
          <w:rFonts w:ascii="Arial" w:hAnsi="Arial" w:cs="Arial"/>
          <w:sz w:val="24"/>
          <w:szCs w:val="24"/>
        </w:rPr>
        <w:t xml:space="preserve"> sostuvo</w:t>
      </w:r>
      <w:r w:rsidRPr="00795B97">
        <w:rPr>
          <w:rFonts w:ascii="Arial" w:hAnsi="Arial" w:cs="Arial"/>
          <w:sz w:val="24"/>
          <w:szCs w:val="24"/>
        </w:rPr>
        <w:t xml:space="preserve"> que la orientación sexual y la identidad de género de las personas son categorías protegidas, por </w:t>
      </w:r>
      <w:r w:rsidR="006B280E">
        <w:rPr>
          <w:rFonts w:ascii="Arial" w:hAnsi="Arial" w:cs="Arial"/>
          <w:sz w:val="24"/>
          <w:szCs w:val="24"/>
        </w:rPr>
        <w:t xml:space="preserve">ello, </w:t>
      </w:r>
      <w:r w:rsidRPr="00795B97">
        <w:rPr>
          <w:rFonts w:ascii="Arial" w:hAnsi="Arial" w:cs="Arial"/>
          <w:sz w:val="24"/>
          <w:szCs w:val="24"/>
        </w:rPr>
        <w:t xml:space="preserve">cualquier norma, </w:t>
      </w:r>
      <w:r w:rsidR="00AC4BE2">
        <w:rPr>
          <w:rFonts w:ascii="Arial" w:hAnsi="Arial" w:cs="Arial"/>
          <w:sz w:val="24"/>
          <w:szCs w:val="24"/>
        </w:rPr>
        <w:t xml:space="preserve">acto o práctica discriminatoria, </w:t>
      </w:r>
      <w:r w:rsidRPr="00795B97">
        <w:rPr>
          <w:rFonts w:ascii="Arial" w:hAnsi="Arial" w:cs="Arial"/>
          <w:sz w:val="24"/>
          <w:szCs w:val="24"/>
        </w:rPr>
        <w:t xml:space="preserve">se encuentra prohibida. </w:t>
      </w:r>
    </w:p>
    <w:p w14:paraId="4E71ABD4" w14:textId="77777777" w:rsidR="0017171F" w:rsidRDefault="0017171F" w:rsidP="0017171F">
      <w:pPr>
        <w:pStyle w:val="Sinespaciado"/>
      </w:pPr>
    </w:p>
    <w:p w14:paraId="12ECBB7F" w14:textId="63E63F22" w:rsidR="00D51A72" w:rsidRPr="00795B97" w:rsidRDefault="00D51A72" w:rsidP="00795B97">
      <w:pPr>
        <w:spacing w:line="360" w:lineRule="auto"/>
        <w:jc w:val="both"/>
        <w:rPr>
          <w:rFonts w:ascii="Arial" w:hAnsi="Arial" w:cs="Arial"/>
          <w:sz w:val="24"/>
          <w:szCs w:val="24"/>
        </w:rPr>
      </w:pPr>
      <w:r w:rsidRPr="00795B97">
        <w:rPr>
          <w:rFonts w:ascii="Arial" w:hAnsi="Arial" w:cs="Arial"/>
          <w:sz w:val="24"/>
          <w:szCs w:val="24"/>
        </w:rPr>
        <w:t>A su vez, el protocolo de actuación de la SCJN</w:t>
      </w:r>
      <w:r w:rsidRPr="00795B97">
        <w:rPr>
          <w:rStyle w:val="Refdenotaalpie"/>
          <w:rFonts w:ascii="Arial" w:hAnsi="Arial" w:cs="Arial"/>
          <w:sz w:val="24"/>
          <w:szCs w:val="24"/>
        </w:rPr>
        <w:footnoteReference w:id="5"/>
      </w:r>
      <w:r w:rsidRPr="00795B97">
        <w:rPr>
          <w:rFonts w:ascii="Arial" w:hAnsi="Arial" w:cs="Arial"/>
          <w:sz w:val="24"/>
          <w:szCs w:val="24"/>
        </w:rPr>
        <w:t xml:space="preserve"> establece que las y los juzgadores están obligados a resolver los casos relativos a los derechos humanos de las personas LGBTIQ+, con base en una perspectiva de género y de diversidad sexual, </w:t>
      </w:r>
      <w:r w:rsidR="006B280E">
        <w:rPr>
          <w:rFonts w:ascii="Arial" w:hAnsi="Arial" w:cs="Arial"/>
          <w:sz w:val="24"/>
          <w:szCs w:val="24"/>
        </w:rPr>
        <w:t>tomando en cuenta</w:t>
      </w:r>
      <w:r w:rsidRPr="00795B97">
        <w:rPr>
          <w:rFonts w:ascii="Arial" w:hAnsi="Arial" w:cs="Arial"/>
          <w:sz w:val="24"/>
          <w:szCs w:val="24"/>
        </w:rPr>
        <w:t xml:space="preserve"> la realidad particular que viven las personas en razón de su identidad de género y orientación sexual.</w:t>
      </w:r>
    </w:p>
    <w:p w14:paraId="1EE1C30B" w14:textId="77777777" w:rsidR="00D51A72" w:rsidRPr="00271087" w:rsidRDefault="00D51A72" w:rsidP="00271087">
      <w:pPr>
        <w:pStyle w:val="Sinespaciado"/>
      </w:pPr>
      <w:r w:rsidRPr="00795B97">
        <w:t xml:space="preserve"> </w:t>
      </w:r>
    </w:p>
    <w:p w14:paraId="227A52D3" w14:textId="08F76005" w:rsidR="007D5CCB" w:rsidRDefault="00D51A72" w:rsidP="00271087">
      <w:pPr>
        <w:spacing w:line="360" w:lineRule="auto"/>
        <w:jc w:val="both"/>
        <w:rPr>
          <w:rFonts w:ascii="Arial" w:hAnsi="Arial" w:cs="Arial"/>
          <w:sz w:val="24"/>
          <w:szCs w:val="24"/>
        </w:rPr>
      </w:pPr>
      <w:r w:rsidRPr="00795B97">
        <w:rPr>
          <w:rFonts w:ascii="Arial" w:hAnsi="Arial" w:cs="Arial"/>
          <w:sz w:val="24"/>
          <w:szCs w:val="24"/>
        </w:rPr>
        <w:t>Así, las y los administradores de justicia tie</w:t>
      </w:r>
      <w:r w:rsidR="00AC4BE2">
        <w:rPr>
          <w:rFonts w:ascii="Arial" w:hAnsi="Arial" w:cs="Arial"/>
          <w:sz w:val="24"/>
          <w:szCs w:val="24"/>
        </w:rPr>
        <w:t xml:space="preserve">nen la obligación de detectar y, en su caso, </w:t>
      </w:r>
      <w:r w:rsidRPr="00795B97">
        <w:rPr>
          <w:rFonts w:ascii="Arial" w:hAnsi="Arial" w:cs="Arial"/>
          <w:sz w:val="24"/>
          <w:szCs w:val="24"/>
        </w:rPr>
        <w:t>eliminar todas las barreras y obstáculos que discriminan a las personas por estas razones, es decir, considerar las situaciones de desventaja que, por cuestiones de género u orientación sexual, discriminan e impiden la igualdad</w:t>
      </w:r>
      <w:r w:rsidR="00AC4BE2">
        <w:rPr>
          <w:rFonts w:ascii="Arial" w:hAnsi="Arial" w:cs="Arial"/>
          <w:sz w:val="24"/>
          <w:szCs w:val="24"/>
        </w:rPr>
        <w:t xml:space="preserve">. </w:t>
      </w:r>
      <w:r w:rsidRPr="00795B97">
        <w:rPr>
          <w:rFonts w:ascii="Arial" w:hAnsi="Arial" w:cs="Arial"/>
          <w:sz w:val="24"/>
          <w:szCs w:val="24"/>
        </w:rPr>
        <w:t xml:space="preserve"> </w:t>
      </w:r>
    </w:p>
    <w:p w14:paraId="1F13D6D5" w14:textId="584F0CCC" w:rsidR="007D5CCB" w:rsidRDefault="007D5CCB" w:rsidP="007D5CCB">
      <w:pPr>
        <w:pStyle w:val="Sinespaciado"/>
        <w:rPr>
          <w:rFonts w:ascii="Arial" w:hAnsi="Arial" w:cs="Arial"/>
          <w:sz w:val="24"/>
          <w:szCs w:val="24"/>
        </w:rPr>
      </w:pPr>
    </w:p>
    <w:p w14:paraId="6BAADB81" w14:textId="77777777" w:rsidR="00500D98" w:rsidRPr="00795B97" w:rsidRDefault="00500D98" w:rsidP="007D5CCB">
      <w:pPr>
        <w:pStyle w:val="Sinespaciado"/>
        <w:rPr>
          <w:rFonts w:ascii="Arial" w:hAnsi="Arial" w:cs="Arial"/>
          <w:sz w:val="24"/>
          <w:szCs w:val="24"/>
        </w:rPr>
      </w:pPr>
    </w:p>
    <w:p w14:paraId="6C755AC4" w14:textId="77777777" w:rsidR="00D51A72" w:rsidRPr="00795B97" w:rsidRDefault="00D51A72" w:rsidP="00795B97">
      <w:pPr>
        <w:pStyle w:val="Prrafodelista"/>
        <w:numPr>
          <w:ilvl w:val="1"/>
          <w:numId w:val="8"/>
        </w:numPr>
        <w:spacing w:line="360" w:lineRule="auto"/>
        <w:jc w:val="both"/>
        <w:rPr>
          <w:rFonts w:ascii="Arial" w:hAnsi="Arial" w:cs="Arial"/>
          <w:b/>
          <w:bCs/>
          <w:sz w:val="24"/>
          <w:szCs w:val="24"/>
        </w:rPr>
      </w:pPr>
      <w:r w:rsidRPr="00795B97">
        <w:rPr>
          <w:rFonts w:ascii="Arial" w:hAnsi="Arial" w:cs="Arial"/>
          <w:b/>
          <w:bCs/>
          <w:sz w:val="24"/>
          <w:szCs w:val="24"/>
        </w:rPr>
        <w:t>Personas con discapacidad.</w:t>
      </w:r>
    </w:p>
    <w:p w14:paraId="6D280650" w14:textId="77777777" w:rsidR="00D51A72" w:rsidRPr="00500D98" w:rsidRDefault="00D51A72" w:rsidP="00500D98">
      <w:pPr>
        <w:pStyle w:val="Sinespaciado"/>
      </w:pPr>
    </w:p>
    <w:p w14:paraId="338727AB" w14:textId="1443DCBF" w:rsidR="00D51A72" w:rsidRPr="00795B97" w:rsidRDefault="00D51A72" w:rsidP="00795B97">
      <w:pPr>
        <w:spacing w:line="360" w:lineRule="auto"/>
        <w:jc w:val="both"/>
        <w:rPr>
          <w:rFonts w:ascii="Arial" w:hAnsi="Arial" w:cs="Arial"/>
          <w:sz w:val="24"/>
          <w:szCs w:val="24"/>
        </w:rPr>
      </w:pPr>
      <w:r w:rsidRPr="00795B97">
        <w:rPr>
          <w:rFonts w:ascii="Arial" w:hAnsi="Arial" w:cs="Arial"/>
          <w:sz w:val="24"/>
          <w:szCs w:val="24"/>
        </w:rPr>
        <w:t>La Ley General para la Inclusión de las Personas con Discapacidad</w:t>
      </w:r>
      <w:r w:rsidRPr="00795B97">
        <w:rPr>
          <w:rStyle w:val="Refdenotaalpie"/>
          <w:rFonts w:ascii="Arial" w:hAnsi="Arial" w:cs="Arial"/>
          <w:sz w:val="24"/>
          <w:szCs w:val="24"/>
        </w:rPr>
        <w:footnoteReference w:id="6"/>
      </w:r>
      <w:r w:rsidR="00AC4BE2">
        <w:rPr>
          <w:rFonts w:ascii="Arial" w:hAnsi="Arial" w:cs="Arial"/>
          <w:sz w:val="24"/>
          <w:szCs w:val="24"/>
        </w:rPr>
        <w:t>,</w:t>
      </w:r>
      <w:r w:rsidRPr="00795B97">
        <w:rPr>
          <w:rFonts w:ascii="Arial" w:hAnsi="Arial" w:cs="Arial"/>
          <w:sz w:val="24"/>
          <w:szCs w:val="24"/>
        </w:rPr>
        <w:t xml:space="preserve"> reglamentaria del artículo 1º Constitucional, establece las condiciones en las que el Estado Mexicano debe promover, proteger y asegurar el pleno ejercicio de los derechos humanos y libertades fundamentales de las personas con discapacidad, a</w:t>
      </w:r>
      <w:r w:rsidR="006B280E">
        <w:rPr>
          <w:rFonts w:ascii="Arial" w:hAnsi="Arial" w:cs="Arial"/>
          <w:sz w:val="24"/>
          <w:szCs w:val="24"/>
        </w:rPr>
        <w:t xml:space="preserve"> fin de asegurar</w:t>
      </w:r>
      <w:r w:rsidRPr="00795B97">
        <w:rPr>
          <w:rFonts w:ascii="Arial" w:hAnsi="Arial" w:cs="Arial"/>
          <w:sz w:val="24"/>
          <w:szCs w:val="24"/>
        </w:rPr>
        <w:t xml:space="preserve"> su plena inclusión a la sociedad en un marco de respeto e igualdad de oportunidades. </w:t>
      </w:r>
    </w:p>
    <w:p w14:paraId="1AA19417" w14:textId="77777777" w:rsidR="00D51A72" w:rsidRPr="0017171F" w:rsidRDefault="00D51A72" w:rsidP="0017171F">
      <w:pPr>
        <w:pStyle w:val="Sinespaciado"/>
      </w:pPr>
    </w:p>
    <w:p w14:paraId="43BAEBB4" w14:textId="1B3D9060" w:rsidR="00D51A72" w:rsidRDefault="00D51A72" w:rsidP="00795B97">
      <w:pPr>
        <w:spacing w:line="360" w:lineRule="auto"/>
        <w:jc w:val="both"/>
        <w:rPr>
          <w:rFonts w:ascii="Arial" w:hAnsi="Arial" w:cs="Arial"/>
          <w:sz w:val="24"/>
          <w:szCs w:val="24"/>
        </w:rPr>
      </w:pPr>
      <w:r w:rsidRPr="00795B97">
        <w:rPr>
          <w:rFonts w:ascii="Arial" w:hAnsi="Arial" w:cs="Arial"/>
          <w:sz w:val="24"/>
          <w:szCs w:val="24"/>
        </w:rPr>
        <w:t xml:space="preserve">Así, las personas con discapacidad gozan de todos los derechos que establece el orden jurídico mexicano, sin distinción alguna, por </w:t>
      </w:r>
      <w:r w:rsidR="006B280E">
        <w:rPr>
          <w:rFonts w:ascii="Arial" w:hAnsi="Arial" w:cs="Arial"/>
          <w:sz w:val="24"/>
          <w:szCs w:val="24"/>
        </w:rPr>
        <w:t>el</w:t>
      </w:r>
      <w:r w:rsidRPr="00795B97">
        <w:rPr>
          <w:rFonts w:ascii="Arial" w:hAnsi="Arial" w:cs="Arial"/>
          <w:sz w:val="24"/>
          <w:szCs w:val="24"/>
        </w:rPr>
        <w:t>lo</w:t>
      </w:r>
      <w:r w:rsidR="006B280E">
        <w:rPr>
          <w:rFonts w:ascii="Arial" w:hAnsi="Arial" w:cs="Arial"/>
          <w:sz w:val="24"/>
          <w:szCs w:val="24"/>
        </w:rPr>
        <w:t>,</w:t>
      </w:r>
      <w:r w:rsidRPr="00795B97">
        <w:rPr>
          <w:rFonts w:ascii="Arial" w:hAnsi="Arial" w:cs="Arial"/>
          <w:sz w:val="24"/>
          <w:szCs w:val="24"/>
        </w:rPr>
        <w:t xml:space="preserve"> las autoridades deben implementar las medidas necesarias para evitar y erradicar cualquier tipo de discriminación.</w:t>
      </w:r>
    </w:p>
    <w:p w14:paraId="2EFF0829" w14:textId="77777777" w:rsidR="00125B30" w:rsidRDefault="00125B30" w:rsidP="007D5CCB">
      <w:pPr>
        <w:jc w:val="both"/>
        <w:rPr>
          <w:rFonts w:ascii="Arial" w:hAnsi="Arial" w:cs="Arial"/>
          <w:sz w:val="24"/>
          <w:szCs w:val="24"/>
        </w:rPr>
      </w:pPr>
    </w:p>
    <w:p w14:paraId="12F586A2" w14:textId="23A62E87" w:rsidR="007D5CCB" w:rsidRDefault="007D5CCB" w:rsidP="007D5CCB">
      <w:pPr>
        <w:spacing w:line="360" w:lineRule="auto"/>
        <w:jc w:val="both"/>
        <w:rPr>
          <w:rFonts w:ascii="Arial" w:hAnsi="Arial" w:cs="Arial"/>
          <w:b/>
          <w:bCs/>
          <w:sz w:val="24"/>
          <w:szCs w:val="24"/>
        </w:rPr>
      </w:pPr>
      <w:r w:rsidRPr="007D5CCB">
        <w:rPr>
          <w:rFonts w:ascii="Arial" w:hAnsi="Arial" w:cs="Arial"/>
          <w:b/>
          <w:bCs/>
          <w:sz w:val="24"/>
          <w:szCs w:val="24"/>
        </w:rPr>
        <w:t>1.3 De la igualdad formal y material</w:t>
      </w:r>
    </w:p>
    <w:p w14:paraId="3953AE8F" w14:textId="5A5C82A8" w:rsidR="007D5CCB" w:rsidRDefault="007D5CCB" w:rsidP="0017171F">
      <w:pPr>
        <w:pStyle w:val="Sinespaciado"/>
      </w:pPr>
    </w:p>
    <w:p w14:paraId="16F24E30" w14:textId="2965A7DA" w:rsidR="007D5CCB" w:rsidRPr="007D5CCB" w:rsidRDefault="00346CE6" w:rsidP="007D5CCB">
      <w:pPr>
        <w:spacing w:line="360" w:lineRule="auto"/>
        <w:jc w:val="both"/>
        <w:rPr>
          <w:rFonts w:ascii="Arial" w:hAnsi="Arial" w:cs="Arial"/>
          <w:sz w:val="24"/>
          <w:szCs w:val="24"/>
        </w:rPr>
      </w:pPr>
      <w:r>
        <w:rPr>
          <w:rFonts w:ascii="Arial" w:hAnsi="Arial" w:cs="Arial"/>
          <w:sz w:val="24"/>
          <w:szCs w:val="24"/>
        </w:rPr>
        <w:t>En primer lugar, l</w:t>
      </w:r>
      <w:r w:rsidR="009F3C13">
        <w:rPr>
          <w:rFonts w:ascii="Arial" w:hAnsi="Arial" w:cs="Arial"/>
          <w:sz w:val="24"/>
          <w:szCs w:val="24"/>
        </w:rPr>
        <w:t>a Suprema Corte de Justicia de la Nación</w:t>
      </w:r>
      <w:r w:rsidR="009F3C13">
        <w:rPr>
          <w:rStyle w:val="Refdenotaalpie"/>
          <w:rFonts w:ascii="Arial" w:hAnsi="Arial" w:cs="Arial"/>
          <w:sz w:val="24"/>
          <w:szCs w:val="24"/>
        </w:rPr>
        <w:footnoteReference w:id="7"/>
      </w:r>
      <w:r w:rsidR="007D5CCB" w:rsidRPr="007D5CCB">
        <w:rPr>
          <w:rFonts w:ascii="Arial" w:hAnsi="Arial" w:cs="Arial"/>
          <w:sz w:val="24"/>
          <w:szCs w:val="24"/>
        </w:rPr>
        <w:t xml:space="preserve"> conceptualiza el derecho humano a la igualdad jurídica desde dos modalidades, la igualdad formal o de derecho y la igualdad sustantiva o, de hecho.</w:t>
      </w:r>
    </w:p>
    <w:p w14:paraId="68AE396A" w14:textId="77777777" w:rsidR="007D5CCB" w:rsidRPr="007D5CCB" w:rsidRDefault="007D5CCB" w:rsidP="00500D98">
      <w:pPr>
        <w:pStyle w:val="Sinespaciado"/>
      </w:pPr>
    </w:p>
    <w:p w14:paraId="7EDD7743" w14:textId="732AB8C3" w:rsidR="007D5CCB" w:rsidRDefault="00346CE6" w:rsidP="007D5CCB">
      <w:pPr>
        <w:spacing w:line="360" w:lineRule="auto"/>
        <w:jc w:val="both"/>
        <w:rPr>
          <w:rFonts w:ascii="Arial" w:hAnsi="Arial" w:cs="Arial"/>
          <w:sz w:val="24"/>
          <w:szCs w:val="24"/>
        </w:rPr>
      </w:pPr>
      <w:r>
        <w:rPr>
          <w:rFonts w:ascii="Arial" w:hAnsi="Arial" w:cs="Arial"/>
          <w:sz w:val="24"/>
          <w:szCs w:val="24"/>
        </w:rPr>
        <w:t>En cuanto a</w:t>
      </w:r>
      <w:r w:rsidR="007D5CCB" w:rsidRPr="007D5CCB">
        <w:rPr>
          <w:rFonts w:ascii="Arial" w:hAnsi="Arial" w:cs="Arial"/>
          <w:sz w:val="24"/>
          <w:szCs w:val="24"/>
        </w:rPr>
        <w:t xml:space="preserve"> </w:t>
      </w:r>
      <w:r w:rsidR="007D5CCB" w:rsidRPr="009F3C13">
        <w:rPr>
          <w:rFonts w:ascii="Arial" w:hAnsi="Arial" w:cs="Arial"/>
          <w:b/>
          <w:bCs/>
          <w:sz w:val="24"/>
          <w:szCs w:val="24"/>
        </w:rPr>
        <w:t>la igualdad formal</w:t>
      </w:r>
      <w:r w:rsidR="007D5CCB" w:rsidRPr="007D5CCB">
        <w:rPr>
          <w:rFonts w:ascii="Arial" w:hAnsi="Arial" w:cs="Arial"/>
          <w:sz w:val="24"/>
          <w:szCs w:val="24"/>
        </w:rPr>
        <w:t xml:space="preserve"> o de derecho, la considera como una protección contra distinciones o tratos arbitrarios </w:t>
      </w:r>
      <w:r w:rsidR="009F3C13">
        <w:rPr>
          <w:rFonts w:ascii="Arial" w:hAnsi="Arial" w:cs="Arial"/>
          <w:sz w:val="24"/>
          <w:szCs w:val="24"/>
        </w:rPr>
        <w:t>que</w:t>
      </w:r>
      <w:r w:rsidR="007D5CCB" w:rsidRPr="007D5CCB">
        <w:rPr>
          <w:rFonts w:ascii="Arial" w:hAnsi="Arial" w:cs="Arial"/>
          <w:sz w:val="24"/>
          <w:szCs w:val="24"/>
        </w:rPr>
        <w:t xml:space="preserve"> se compone a su vez</w:t>
      </w:r>
      <w:r w:rsidR="009F3C13">
        <w:rPr>
          <w:rFonts w:ascii="Arial" w:hAnsi="Arial" w:cs="Arial"/>
          <w:sz w:val="24"/>
          <w:szCs w:val="24"/>
        </w:rPr>
        <w:t>,</w:t>
      </w:r>
      <w:r w:rsidR="007D5CCB" w:rsidRPr="007D5CCB">
        <w:rPr>
          <w:rFonts w:ascii="Arial" w:hAnsi="Arial" w:cs="Arial"/>
          <w:sz w:val="24"/>
          <w:szCs w:val="24"/>
        </w:rPr>
        <w:t xml:space="preserve"> de la igualdad ante la ley, como uniformidad en la aplicación de la norma jurídica por parte de todas las autoridades</w:t>
      </w:r>
      <w:r w:rsidR="002F2EED">
        <w:rPr>
          <w:rFonts w:ascii="Arial" w:hAnsi="Arial" w:cs="Arial"/>
          <w:sz w:val="24"/>
          <w:szCs w:val="24"/>
        </w:rPr>
        <w:t>.</w:t>
      </w:r>
    </w:p>
    <w:p w14:paraId="77360AE8" w14:textId="370ABBB1" w:rsidR="009F3C13" w:rsidRPr="007D5CCB" w:rsidRDefault="009F3C13" w:rsidP="0017171F">
      <w:pPr>
        <w:pStyle w:val="Sinespaciado"/>
      </w:pPr>
      <w:r>
        <w:tab/>
      </w:r>
    </w:p>
    <w:p w14:paraId="11354ACA" w14:textId="3261FE8C" w:rsidR="007D5CCB" w:rsidRDefault="00346CE6" w:rsidP="007D5CCB">
      <w:pPr>
        <w:spacing w:line="360" w:lineRule="auto"/>
        <w:jc w:val="both"/>
        <w:rPr>
          <w:rFonts w:ascii="Arial" w:hAnsi="Arial" w:cs="Arial"/>
          <w:sz w:val="24"/>
          <w:szCs w:val="24"/>
        </w:rPr>
      </w:pPr>
      <w:r>
        <w:rPr>
          <w:rFonts w:ascii="Arial" w:hAnsi="Arial" w:cs="Arial"/>
          <w:sz w:val="24"/>
          <w:szCs w:val="24"/>
        </w:rPr>
        <w:t xml:space="preserve">Asimismo, </w:t>
      </w:r>
      <w:r w:rsidR="007D5CCB" w:rsidRPr="007D5CCB">
        <w:rPr>
          <w:rFonts w:ascii="Arial" w:hAnsi="Arial" w:cs="Arial"/>
          <w:sz w:val="24"/>
          <w:szCs w:val="24"/>
        </w:rPr>
        <w:t xml:space="preserve">la Corte </w:t>
      </w:r>
      <w:r>
        <w:rPr>
          <w:rFonts w:ascii="Arial" w:hAnsi="Arial" w:cs="Arial"/>
          <w:sz w:val="24"/>
          <w:szCs w:val="24"/>
        </w:rPr>
        <w:t xml:space="preserve">considera </w:t>
      </w:r>
      <w:r w:rsidR="007D5CCB" w:rsidRPr="007D5CCB">
        <w:rPr>
          <w:rFonts w:ascii="Arial" w:hAnsi="Arial" w:cs="Arial"/>
          <w:sz w:val="24"/>
          <w:szCs w:val="24"/>
        </w:rPr>
        <w:t>que las violaciones a</w:t>
      </w:r>
      <w:r w:rsidR="009F3C13">
        <w:rPr>
          <w:rFonts w:ascii="Arial" w:hAnsi="Arial" w:cs="Arial"/>
          <w:sz w:val="24"/>
          <w:szCs w:val="24"/>
        </w:rPr>
        <w:t>l</w:t>
      </w:r>
      <w:r w:rsidR="007D5CCB" w:rsidRPr="007D5CCB">
        <w:rPr>
          <w:rFonts w:ascii="Arial" w:hAnsi="Arial" w:cs="Arial"/>
          <w:sz w:val="24"/>
          <w:szCs w:val="24"/>
        </w:rPr>
        <w:t xml:space="preserve"> principio de igualdad jurídica dan lugar a actos discriminatorios directos, cuando la distinción en la aplicación o en la norma obedece explícitamente a un factor prohibido o no justificado constitucionalmente, o a actos discriminatorios indirectos, que se dan cuando la aplicación de la norma o su contenido es aparentemente neutra</w:t>
      </w:r>
      <w:r>
        <w:rPr>
          <w:rFonts w:ascii="Arial" w:hAnsi="Arial" w:cs="Arial"/>
          <w:sz w:val="24"/>
          <w:szCs w:val="24"/>
        </w:rPr>
        <w:t>l</w:t>
      </w:r>
      <w:r w:rsidR="007D5CCB" w:rsidRPr="007D5CCB">
        <w:rPr>
          <w:rFonts w:ascii="Arial" w:hAnsi="Arial" w:cs="Arial"/>
          <w:sz w:val="24"/>
          <w:szCs w:val="24"/>
        </w:rPr>
        <w:t>, pero el efecto o su resultado conlleva a una diferenciación o exclusión desproporcionada de cierto grupo social, sin que exista una justificación objetiva para ello.</w:t>
      </w:r>
    </w:p>
    <w:p w14:paraId="14F4858D" w14:textId="77777777" w:rsidR="009F3C13" w:rsidRPr="007D5CCB" w:rsidRDefault="009F3C13" w:rsidP="0017171F">
      <w:pPr>
        <w:pStyle w:val="Sinespaciado"/>
      </w:pPr>
    </w:p>
    <w:p w14:paraId="4482EE31" w14:textId="674252DD" w:rsidR="007D5CCB" w:rsidRDefault="00346CE6" w:rsidP="007D5CCB">
      <w:pPr>
        <w:spacing w:line="360" w:lineRule="auto"/>
        <w:jc w:val="both"/>
        <w:rPr>
          <w:rFonts w:ascii="Arial" w:hAnsi="Arial" w:cs="Arial"/>
          <w:sz w:val="24"/>
          <w:szCs w:val="24"/>
        </w:rPr>
      </w:pPr>
      <w:r>
        <w:rPr>
          <w:rFonts w:ascii="Arial" w:hAnsi="Arial" w:cs="Arial"/>
          <w:sz w:val="24"/>
          <w:szCs w:val="24"/>
        </w:rPr>
        <w:t>Por otra parte,</w:t>
      </w:r>
      <w:r w:rsidR="007D5CCB" w:rsidRPr="007D5CCB">
        <w:rPr>
          <w:rFonts w:ascii="Arial" w:hAnsi="Arial" w:cs="Arial"/>
          <w:sz w:val="24"/>
          <w:szCs w:val="24"/>
        </w:rPr>
        <w:t xml:space="preserve"> la </w:t>
      </w:r>
      <w:r w:rsidR="007D5CCB" w:rsidRPr="009F3C13">
        <w:rPr>
          <w:rFonts w:ascii="Arial" w:hAnsi="Arial" w:cs="Arial"/>
          <w:b/>
          <w:bCs/>
          <w:sz w:val="24"/>
          <w:szCs w:val="24"/>
        </w:rPr>
        <w:t>igualdad sustantiva</w:t>
      </w:r>
      <w:r w:rsidR="007D5CCB" w:rsidRPr="007D5CCB">
        <w:rPr>
          <w:rFonts w:ascii="Arial" w:hAnsi="Arial" w:cs="Arial"/>
          <w:sz w:val="24"/>
          <w:szCs w:val="24"/>
        </w:rPr>
        <w:t xml:space="preserve"> o, de hecho, radica en alcanzar una paridad de oportunidades en el goce y ejercicio real y efectivo de los derechos humanos de todas las personas, lo que conlleva que en algunos casos sea necesario remover y/o disminuir los obstáculos sociales, políticos, culturales, económicos o de cualquier otra índole que impidan a los integrantes de ciertos grupos sociales vulnerables gozar y ejercer tales derechos. </w:t>
      </w:r>
    </w:p>
    <w:p w14:paraId="2FA16683" w14:textId="77777777" w:rsidR="009F3C13" w:rsidRPr="007D5CCB" w:rsidRDefault="009F3C13" w:rsidP="0017171F">
      <w:pPr>
        <w:pStyle w:val="Sinespaciado"/>
      </w:pPr>
    </w:p>
    <w:p w14:paraId="418562FF" w14:textId="36B39B12" w:rsidR="009F3C13" w:rsidRDefault="00346CE6" w:rsidP="007D5CCB">
      <w:pPr>
        <w:spacing w:line="360" w:lineRule="auto"/>
        <w:jc w:val="both"/>
        <w:rPr>
          <w:rFonts w:ascii="Arial" w:hAnsi="Arial" w:cs="Arial"/>
          <w:sz w:val="24"/>
          <w:szCs w:val="24"/>
        </w:rPr>
      </w:pPr>
      <w:r>
        <w:rPr>
          <w:rFonts w:ascii="Arial" w:hAnsi="Arial" w:cs="Arial"/>
          <w:sz w:val="24"/>
          <w:szCs w:val="24"/>
        </w:rPr>
        <w:t xml:space="preserve">En cuanto a tal </w:t>
      </w:r>
      <w:r w:rsidR="009F3C13">
        <w:rPr>
          <w:rFonts w:ascii="Arial" w:hAnsi="Arial" w:cs="Arial"/>
          <w:sz w:val="24"/>
          <w:szCs w:val="24"/>
        </w:rPr>
        <w:t xml:space="preserve">principio, </w:t>
      </w:r>
      <w:r w:rsidR="007D5CCB" w:rsidRPr="007D5CCB">
        <w:rPr>
          <w:rFonts w:ascii="Arial" w:hAnsi="Arial" w:cs="Arial"/>
          <w:sz w:val="24"/>
          <w:szCs w:val="24"/>
        </w:rPr>
        <w:t xml:space="preserve">la violación surge cuando existe una discriminación estructural en contra de un grupo social o sus integrantes individualmente considerados y la autoridad no </w:t>
      </w:r>
      <w:r>
        <w:rPr>
          <w:rFonts w:ascii="Arial" w:hAnsi="Arial" w:cs="Arial"/>
          <w:sz w:val="24"/>
          <w:szCs w:val="24"/>
        </w:rPr>
        <w:t xml:space="preserve">realiza </w:t>
      </w:r>
      <w:r w:rsidR="007D5CCB" w:rsidRPr="007D5CCB">
        <w:rPr>
          <w:rFonts w:ascii="Arial" w:hAnsi="Arial" w:cs="Arial"/>
          <w:sz w:val="24"/>
          <w:szCs w:val="24"/>
        </w:rPr>
        <w:t xml:space="preserve">las acciones necesarias para eliminar </w:t>
      </w:r>
      <w:r w:rsidR="009F3C13">
        <w:rPr>
          <w:rFonts w:ascii="Arial" w:hAnsi="Arial" w:cs="Arial"/>
          <w:sz w:val="24"/>
          <w:szCs w:val="24"/>
        </w:rPr>
        <w:t>o</w:t>
      </w:r>
      <w:r w:rsidR="007D5CCB" w:rsidRPr="007D5CCB">
        <w:rPr>
          <w:rFonts w:ascii="Arial" w:hAnsi="Arial" w:cs="Arial"/>
          <w:sz w:val="24"/>
          <w:szCs w:val="24"/>
        </w:rPr>
        <w:t xml:space="preserve"> revertir tal situación</w:t>
      </w:r>
      <w:r w:rsidR="009F3C13">
        <w:rPr>
          <w:rFonts w:ascii="Arial" w:hAnsi="Arial" w:cs="Arial"/>
          <w:sz w:val="24"/>
          <w:szCs w:val="24"/>
        </w:rPr>
        <w:t xml:space="preserve">. </w:t>
      </w:r>
    </w:p>
    <w:p w14:paraId="1A61F905" w14:textId="77777777" w:rsidR="009F3C13" w:rsidRDefault="009F3C13" w:rsidP="0017171F">
      <w:pPr>
        <w:pStyle w:val="Sinespaciado"/>
      </w:pPr>
    </w:p>
    <w:p w14:paraId="6DF89A3A" w14:textId="3533AC33" w:rsidR="007D5CCB" w:rsidRDefault="009F3C13" w:rsidP="007D5CCB">
      <w:pPr>
        <w:spacing w:line="360" w:lineRule="auto"/>
        <w:jc w:val="both"/>
        <w:rPr>
          <w:rFonts w:ascii="Arial" w:hAnsi="Arial" w:cs="Arial"/>
          <w:sz w:val="24"/>
          <w:szCs w:val="24"/>
        </w:rPr>
      </w:pPr>
      <w:r>
        <w:rPr>
          <w:rFonts w:ascii="Arial" w:hAnsi="Arial" w:cs="Arial"/>
          <w:sz w:val="24"/>
          <w:szCs w:val="24"/>
        </w:rPr>
        <w:t>A</w:t>
      </w:r>
      <w:r w:rsidR="007D5CCB" w:rsidRPr="007D5CCB">
        <w:rPr>
          <w:rFonts w:ascii="Arial" w:hAnsi="Arial" w:cs="Arial"/>
          <w:sz w:val="24"/>
          <w:szCs w:val="24"/>
        </w:rPr>
        <w:t xml:space="preserve">demás, su violación también puede reflejarse en una desproporcionada aplicación de la ley o en un efecto </w:t>
      </w:r>
      <w:r w:rsidRPr="007D5CCB">
        <w:rPr>
          <w:rFonts w:ascii="Arial" w:hAnsi="Arial" w:cs="Arial"/>
          <w:sz w:val="24"/>
          <w:szCs w:val="24"/>
        </w:rPr>
        <w:t>desfavorable</w:t>
      </w:r>
      <w:r w:rsidR="007D5CCB" w:rsidRPr="007D5CCB">
        <w:rPr>
          <w:rFonts w:ascii="Arial" w:hAnsi="Arial" w:cs="Arial"/>
          <w:sz w:val="24"/>
          <w:szCs w:val="24"/>
        </w:rPr>
        <w:t xml:space="preserve"> y desproporcional de cierto contenido normativo en contra de un grupo social, con la diferencia de que, respecto a la igualdad formal, los elementos para verificar la violación dependerán de las características del propio grupo y la existencia acreditada de la discriminación estructural y/o sistemática.</w:t>
      </w:r>
    </w:p>
    <w:p w14:paraId="142A1BFB" w14:textId="77777777" w:rsidR="009F3C13" w:rsidRPr="007D5CCB" w:rsidRDefault="009F3C13" w:rsidP="0017171F">
      <w:pPr>
        <w:pStyle w:val="Sinespaciado"/>
      </w:pPr>
    </w:p>
    <w:p w14:paraId="75418765" w14:textId="2350D563" w:rsidR="007D5CCB" w:rsidRPr="009F3C13" w:rsidRDefault="007D5CCB" w:rsidP="007D5CCB">
      <w:pPr>
        <w:spacing w:line="360" w:lineRule="auto"/>
        <w:jc w:val="both"/>
        <w:rPr>
          <w:rFonts w:ascii="Arial" w:hAnsi="Arial" w:cs="Arial"/>
          <w:b/>
          <w:bCs/>
          <w:sz w:val="24"/>
          <w:szCs w:val="24"/>
        </w:rPr>
      </w:pPr>
      <w:r w:rsidRPr="007D5CCB">
        <w:rPr>
          <w:rFonts w:ascii="Arial" w:hAnsi="Arial" w:cs="Arial"/>
          <w:sz w:val="24"/>
          <w:szCs w:val="24"/>
        </w:rPr>
        <w:lastRenderedPageBreak/>
        <w:t>En esta misma línea, la Sala Superior</w:t>
      </w:r>
      <w:r w:rsidR="009F3C13">
        <w:rPr>
          <w:rStyle w:val="Refdenotaalpie"/>
          <w:rFonts w:ascii="Arial" w:hAnsi="Arial" w:cs="Arial"/>
          <w:sz w:val="24"/>
          <w:szCs w:val="24"/>
        </w:rPr>
        <w:footnoteReference w:id="8"/>
      </w:r>
      <w:r w:rsidRPr="007D5CCB">
        <w:rPr>
          <w:rFonts w:ascii="Arial" w:hAnsi="Arial" w:cs="Arial"/>
          <w:sz w:val="24"/>
          <w:szCs w:val="24"/>
        </w:rPr>
        <w:t xml:space="preserve"> ha considerado que el principio de igualdad, de no discriminación y las acciones afirmativas encuentran una vinculación estrecha y que el primer paso para lograr la igualdad entre los miembros de una comunidad es eliminar cualquier tipo de discriminación, lo cual se alcanza a través de </w:t>
      </w:r>
      <w:r w:rsidR="00346CE6">
        <w:rPr>
          <w:rFonts w:ascii="Arial" w:hAnsi="Arial" w:cs="Arial"/>
          <w:sz w:val="24"/>
          <w:szCs w:val="24"/>
        </w:rPr>
        <w:t xml:space="preserve">la </w:t>
      </w:r>
      <w:r w:rsidRPr="007D5CCB">
        <w:rPr>
          <w:rFonts w:ascii="Arial" w:hAnsi="Arial" w:cs="Arial"/>
          <w:sz w:val="24"/>
          <w:szCs w:val="24"/>
        </w:rPr>
        <w:t xml:space="preserve">expedición de ordenamientos jurídicos que los tutele, denominándola </w:t>
      </w:r>
      <w:r w:rsidRPr="009F3C13">
        <w:rPr>
          <w:rFonts w:ascii="Arial" w:hAnsi="Arial" w:cs="Arial"/>
          <w:sz w:val="24"/>
          <w:szCs w:val="24"/>
        </w:rPr>
        <w:t>igualdad formal.</w:t>
      </w:r>
    </w:p>
    <w:p w14:paraId="22B83FD8" w14:textId="77777777" w:rsidR="009F3C13" w:rsidRPr="007D5CCB" w:rsidRDefault="009F3C13" w:rsidP="0017171F">
      <w:pPr>
        <w:pStyle w:val="Sinespaciado"/>
      </w:pPr>
    </w:p>
    <w:p w14:paraId="7E7EF098" w14:textId="13C2BD72" w:rsidR="00371850" w:rsidRDefault="00346CE6" w:rsidP="00371850">
      <w:pPr>
        <w:spacing w:line="360" w:lineRule="auto"/>
        <w:jc w:val="both"/>
        <w:rPr>
          <w:rFonts w:ascii="Arial" w:hAnsi="Arial" w:cs="Arial"/>
          <w:sz w:val="24"/>
          <w:szCs w:val="24"/>
        </w:rPr>
      </w:pPr>
      <w:r>
        <w:rPr>
          <w:rFonts w:ascii="Arial" w:hAnsi="Arial" w:cs="Arial"/>
          <w:sz w:val="24"/>
          <w:szCs w:val="24"/>
        </w:rPr>
        <w:t>Sin embargo, dicho órgano puntualiza</w:t>
      </w:r>
      <w:r w:rsidR="007D5CCB" w:rsidRPr="007D5CCB">
        <w:rPr>
          <w:rFonts w:ascii="Arial" w:hAnsi="Arial" w:cs="Arial"/>
          <w:sz w:val="24"/>
          <w:szCs w:val="24"/>
        </w:rPr>
        <w:t xml:space="preserve"> que tal igualdad no es suficiente </w:t>
      </w:r>
      <w:r w:rsidR="006B280E">
        <w:rPr>
          <w:rFonts w:ascii="Arial" w:hAnsi="Arial" w:cs="Arial"/>
          <w:sz w:val="24"/>
          <w:szCs w:val="24"/>
        </w:rPr>
        <w:t>y</w:t>
      </w:r>
      <w:r w:rsidR="0017171F">
        <w:rPr>
          <w:rFonts w:ascii="Arial" w:hAnsi="Arial" w:cs="Arial"/>
          <w:sz w:val="24"/>
          <w:szCs w:val="24"/>
        </w:rPr>
        <w:t>,</w:t>
      </w:r>
      <w:r w:rsidR="006B280E">
        <w:rPr>
          <w:rFonts w:ascii="Arial" w:hAnsi="Arial" w:cs="Arial"/>
          <w:sz w:val="24"/>
          <w:szCs w:val="24"/>
        </w:rPr>
        <w:t xml:space="preserve"> </w:t>
      </w:r>
      <w:r w:rsidR="007D5CCB" w:rsidRPr="007D5CCB">
        <w:rPr>
          <w:rFonts w:ascii="Arial" w:hAnsi="Arial" w:cs="Arial"/>
          <w:sz w:val="24"/>
          <w:szCs w:val="24"/>
        </w:rPr>
        <w:t xml:space="preserve">por lo </w:t>
      </w:r>
      <w:r w:rsidR="006B280E">
        <w:rPr>
          <w:rFonts w:ascii="Arial" w:hAnsi="Arial" w:cs="Arial"/>
          <w:sz w:val="24"/>
          <w:szCs w:val="24"/>
        </w:rPr>
        <w:t xml:space="preserve">tanto, </w:t>
      </w:r>
      <w:r w:rsidR="007D5CCB" w:rsidRPr="007D5CCB">
        <w:rPr>
          <w:rFonts w:ascii="Arial" w:hAnsi="Arial" w:cs="Arial"/>
          <w:sz w:val="24"/>
          <w:szCs w:val="24"/>
        </w:rPr>
        <w:t>es necesario establecer medidas compensatorias que garanticen un acceso real de los grupos sociales discriminados, por la posición desventajosa en la cual sus miembros se encuentran respecto del resto de los integrantes de la sociedad, lo cual denomina igualdad material o sustantiva.</w:t>
      </w:r>
    </w:p>
    <w:p w14:paraId="30EA7FF1" w14:textId="77777777" w:rsidR="00E83713" w:rsidRDefault="00E83713" w:rsidP="00371850">
      <w:pPr>
        <w:spacing w:line="360" w:lineRule="auto"/>
        <w:jc w:val="both"/>
        <w:rPr>
          <w:rFonts w:ascii="Arial" w:hAnsi="Arial" w:cs="Arial"/>
          <w:sz w:val="24"/>
          <w:szCs w:val="24"/>
        </w:rPr>
      </w:pPr>
    </w:p>
    <w:p w14:paraId="6BF58632" w14:textId="1012239F" w:rsidR="00E83713" w:rsidRPr="00E83713" w:rsidRDefault="00E83713" w:rsidP="00E83713">
      <w:pPr>
        <w:pStyle w:val="Prrafodelista"/>
        <w:numPr>
          <w:ilvl w:val="1"/>
          <w:numId w:val="32"/>
        </w:numPr>
        <w:spacing w:line="360" w:lineRule="auto"/>
        <w:jc w:val="both"/>
        <w:rPr>
          <w:rFonts w:ascii="Arial" w:hAnsi="Arial" w:cs="Arial"/>
          <w:b/>
          <w:bCs/>
          <w:sz w:val="24"/>
          <w:szCs w:val="24"/>
        </w:rPr>
      </w:pPr>
      <w:r w:rsidRPr="00E83713">
        <w:rPr>
          <w:rFonts w:ascii="Arial" w:hAnsi="Arial" w:cs="Arial"/>
          <w:b/>
          <w:bCs/>
          <w:sz w:val="24"/>
          <w:szCs w:val="24"/>
        </w:rPr>
        <w:t xml:space="preserve">Principio de certeza en materia electoral </w:t>
      </w:r>
    </w:p>
    <w:p w14:paraId="044FDB22" w14:textId="77777777" w:rsidR="00E83713" w:rsidRPr="00E83713" w:rsidRDefault="00E83713" w:rsidP="00E83713">
      <w:pPr>
        <w:pStyle w:val="Prrafodelista"/>
        <w:spacing w:line="360" w:lineRule="auto"/>
        <w:jc w:val="both"/>
        <w:rPr>
          <w:rFonts w:ascii="Arial" w:hAnsi="Arial" w:cs="Arial"/>
          <w:b/>
          <w:bCs/>
          <w:sz w:val="24"/>
          <w:szCs w:val="24"/>
        </w:rPr>
      </w:pPr>
    </w:p>
    <w:p w14:paraId="452A2D44" w14:textId="44B56947" w:rsidR="00E83713" w:rsidRDefault="00E83713" w:rsidP="00E83713">
      <w:pPr>
        <w:spacing w:line="360" w:lineRule="auto"/>
        <w:jc w:val="both"/>
        <w:rPr>
          <w:rFonts w:ascii="Arial" w:hAnsi="Arial" w:cs="Arial"/>
          <w:sz w:val="24"/>
          <w:szCs w:val="24"/>
        </w:rPr>
      </w:pPr>
      <w:r w:rsidRPr="002B7665">
        <w:rPr>
          <w:rFonts w:ascii="Arial" w:hAnsi="Arial" w:cs="Arial"/>
          <w:sz w:val="24"/>
          <w:szCs w:val="24"/>
        </w:rPr>
        <w:t>E</w:t>
      </w:r>
      <w:r>
        <w:rPr>
          <w:rFonts w:ascii="Arial" w:hAnsi="Arial" w:cs="Arial"/>
          <w:sz w:val="24"/>
          <w:szCs w:val="24"/>
        </w:rPr>
        <w:t>l artículo 41, fracción II, primer párrafo, de la Constitución Federa</w:t>
      </w:r>
      <w:r w:rsidRPr="002B7665">
        <w:rPr>
          <w:rFonts w:ascii="Arial" w:hAnsi="Arial" w:cs="Arial"/>
          <w:sz w:val="24"/>
          <w:szCs w:val="24"/>
        </w:rPr>
        <w:t>l</w:t>
      </w:r>
      <w:r>
        <w:rPr>
          <w:rStyle w:val="Refdenotaalpie"/>
          <w:rFonts w:ascii="Arial" w:hAnsi="Arial" w:cs="Arial"/>
          <w:sz w:val="24"/>
          <w:szCs w:val="24"/>
        </w:rPr>
        <w:footnoteReference w:id="9"/>
      </w:r>
      <w:r>
        <w:rPr>
          <w:rFonts w:ascii="Arial" w:hAnsi="Arial" w:cs="Arial"/>
          <w:sz w:val="24"/>
          <w:szCs w:val="24"/>
        </w:rPr>
        <w:t xml:space="preserve"> establece que el </w:t>
      </w:r>
      <w:r w:rsidRPr="002B7665">
        <w:rPr>
          <w:rFonts w:ascii="Arial" w:hAnsi="Arial" w:cs="Arial"/>
          <w:sz w:val="24"/>
          <w:szCs w:val="24"/>
        </w:rPr>
        <w:t>principio de certeza</w:t>
      </w:r>
      <w:r>
        <w:rPr>
          <w:rFonts w:ascii="Arial" w:hAnsi="Arial" w:cs="Arial"/>
          <w:sz w:val="24"/>
          <w:szCs w:val="24"/>
        </w:rPr>
        <w:t xml:space="preserve"> materia electoral</w:t>
      </w:r>
      <w:r w:rsidRPr="002B7665">
        <w:rPr>
          <w:rFonts w:ascii="Arial" w:hAnsi="Arial" w:cs="Arial"/>
          <w:sz w:val="24"/>
          <w:szCs w:val="24"/>
        </w:rPr>
        <w:t>, consiste en que los sujetos de derecho estén en posibilidad jurídica de conocer previamente, con claridad y seguridad, las reglas a las que se deben sujetar todos los actores que intervengan en el proceso.</w:t>
      </w:r>
    </w:p>
    <w:p w14:paraId="2D0C5313" w14:textId="77777777" w:rsidR="00E83713" w:rsidRPr="002B7665" w:rsidRDefault="00E83713" w:rsidP="00E83713">
      <w:pPr>
        <w:spacing w:line="360" w:lineRule="auto"/>
        <w:jc w:val="both"/>
        <w:rPr>
          <w:rFonts w:ascii="Arial" w:hAnsi="Arial" w:cs="Arial"/>
          <w:sz w:val="24"/>
          <w:szCs w:val="24"/>
        </w:rPr>
      </w:pPr>
    </w:p>
    <w:p w14:paraId="3B274101" w14:textId="214CB40E" w:rsidR="00E83713" w:rsidRDefault="00E83713" w:rsidP="00E83713">
      <w:pPr>
        <w:pStyle w:val="NormalWeb"/>
        <w:shd w:val="clear" w:color="auto" w:fill="FFFFFF"/>
        <w:spacing w:before="0" w:beforeAutospacing="0" w:after="0" w:afterAutospacing="0" w:line="360" w:lineRule="auto"/>
        <w:jc w:val="both"/>
        <w:rPr>
          <w:rFonts w:ascii="Arial" w:hAnsi="Arial" w:cs="Arial"/>
        </w:rPr>
      </w:pPr>
      <w:r>
        <w:rPr>
          <w:rFonts w:ascii="Arial" w:hAnsi="Arial" w:cs="Arial"/>
        </w:rPr>
        <w:t>Por su parte, la SCJN</w:t>
      </w:r>
      <w:r>
        <w:rPr>
          <w:rStyle w:val="Refdenotaalpie"/>
          <w:rFonts w:ascii="Arial" w:hAnsi="Arial" w:cs="Arial"/>
        </w:rPr>
        <w:footnoteReference w:id="10"/>
      </w:r>
      <w:r>
        <w:rPr>
          <w:rFonts w:ascii="Arial" w:hAnsi="Arial" w:cs="Arial"/>
        </w:rPr>
        <w:t xml:space="preserve"> ha establecido que tal principio </w:t>
      </w:r>
      <w:r w:rsidRPr="004E2E71">
        <w:rPr>
          <w:rFonts w:ascii="Arial" w:hAnsi="Arial" w:cs="Arial"/>
        </w:rPr>
        <w:t>permea el procedimiento electoral</w:t>
      </w:r>
      <w:r>
        <w:rPr>
          <w:rFonts w:ascii="Arial" w:hAnsi="Arial" w:cs="Arial"/>
        </w:rPr>
        <w:t xml:space="preserve"> y, a su vez, </w:t>
      </w:r>
      <w:r w:rsidRPr="004E2E71">
        <w:rPr>
          <w:rFonts w:ascii="Arial" w:hAnsi="Arial" w:cs="Arial"/>
        </w:rPr>
        <w:t>se traduce en que los ciudadanos</w:t>
      </w:r>
      <w:r>
        <w:rPr>
          <w:rFonts w:ascii="Arial" w:hAnsi="Arial" w:cs="Arial"/>
        </w:rPr>
        <w:t xml:space="preserve"> y ciudadanas</w:t>
      </w:r>
      <w:r w:rsidRPr="004E2E71">
        <w:rPr>
          <w:rFonts w:ascii="Arial" w:hAnsi="Arial" w:cs="Arial"/>
        </w:rPr>
        <w:t xml:space="preserve">, institutos políticos, autoridades electorales y, en general, </w:t>
      </w:r>
      <w:r>
        <w:rPr>
          <w:rFonts w:ascii="Arial" w:hAnsi="Arial" w:cs="Arial"/>
        </w:rPr>
        <w:t xml:space="preserve">todas y todos </w:t>
      </w:r>
      <w:r w:rsidRPr="004E2E71">
        <w:rPr>
          <w:rFonts w:ascii="Arial" w:hAnsi="Arial" w:cs="Arial"/>
        </w:rPr>
        <w:t>los participantes del proceso conozcan la situación jurídica que los rige, así como las normas electorales que se aplicarán a la contienda, dotando de seguridad y transparencia al proceso con los consecuentes beneficios que ello implica para la sociedad, principal destinatario de las normas electorales.</w:t>
      </w:r>
      <w:r w:rsidRPr="002B7665">
        <w:rPr>
          <w:rFonts w:ascii="Arial" w:hAnsi="Arial" w:cs="Arial"/>
        </w:rPr>
        <w:t> </w:t>
      </w:r>
    </w:p>
    <w:p w14:paraId="5FD1385C" w14:textId="77777777" w:rsidR="00371850" w:rsidRDefault="00371850" w:rsidP="00500D98">
      <w:pPr>
        <w:pStyle w:val="Sinespaciado"/>
      </w:pPr>
    </w:p>
    <w:p w14:paraId="10B3A0EA" w14:textId="66E0F984" w:rsidR="001011B1" w:rsidRPr="00371850" w:rsidRDefault="001011B1" w:rsidP="00371850">
      <w:pPr>
        <w:spacing w:line="360" w:lineRule="auto"/>
        <w:jc w:val="both"/>
        <w:rPr>
          <w:rFonts w:ascii="Arial" w:hAnsi="Arial" w:cs="Arial"/>
          <w:b/>
          <w:bCs/>
          <w:sz w:val="24"/>
          <w:szCs w:val="24"/>
          <w:u w:val="single"/>
          <w:lang w:eastAsia="es-MX"/>
        </w:rPr>
      </w:pPr>
      <w:r w:rsidRPr="00371850">
        <w:rPr>
          <w:rFonts w:ascii="Arial" w:hAnsi="Arial" w:cs="Arial"/>
          <w:b/>
          <w:bCs/>
          <w:sz w:val="24"/>
          <w:szCs w:val="24"/>
          <w:u w:val="single"/>
          <w:lang w:eastAsia="es-MX"/>
        </w:rPr>
        <w:t>Tema 1. Inclusión de ambos grupos en una misma cuota</w:t>
      </w:r>
    </w:p>
    <w:p w14:paraId="1E2B8386" w14:textId="1159B195" w:rsidR="001011B1" w:rsidRPr="0017171F" w:rsidRDefault="001011B1" w:rsidP="0017171F">
      <w:pPr>
        <w:pStyle w:val="Sinespaciado"/>
      </w:pPr>
    </w:p>
    <w:p w14:paraId="65E45617" w14:textId="48FF146A" w:rsidR="00890D6D" w:rsidRPr="00795B97" w:rsidRDefault="001C6162" w:rsidP="00795B97">
      <w:pPr>
        <w:spacing w:line="360" w:lineRule="auto"/>
        <w:jc w:val="both"/>
        <w:rPr>
          <w:rFonts w:ascii="Arial" w:hAnsi="Arial" w:cs="Arial"/>
          <w:sz w:val="24"/>
          <w:szCs w:val="24"/>
          <w:lang w:eastAsia="es-MX"/>
        </w:rPr>
      </w:pPr>
      <w:r w:rsidRPr="00795B97">
        <w:rPr>
          <w:rFonts w:ascii="Arial" w:hAnsi="Arial" w:cs="Arial"/>
          <w:sz w:val="24"/>
          <w:szCs w:val="24"/>
          <w:lang w:eastAsia="es-MX"/>
        </w:rPr>
        <w:t xml:space="preserve">En el caso, el Instituto local estableció </w:t>
      </w:r>
      <w:proofErr w:type="gramStart"/>
      <w:r w:rsidRPr="00795B97">
        <w:rPr>
          <w:rFonts w:ascii="Arial" w:hAnsi="Arial" w:cs="Arial"/>
          <w:sz w:val="24"/>
          <w:szCs w:val="24"/>
          <w:lang w:eastAsia="es-MX"/>
        </w:rPr>
        <w:t>que</w:t>
      </w:r>
      <w:proofErr w:type="gramEnd"/>
      <w:r w:rsidR="001F17C5">
        <w:rPr>
          <w:rFonts w:ascii="Arial" w:hAnsi="Arial" w:cs="Arial"/>
          <w:sz w:val="24"/>
          <w:szCs w:val="24"/>
          <w:lang w:eastAsia="es-MX"/>
        </w:rPr>
        <w:t xml:space="preserve"> en</w:t>
      </w:r>
      <w:r w:rsidR="001011B1" w:rsidRPr="00795B97">
        <w:rPr>
          <w:rFonts w:ascii="Arial" w:hAnsi="Arial" w:cs="Arial"/>
          <w:sz w:val="24"/>
          <w:szCs w:val="24"/>
          <w:lang w:eastAsia="es-MX"/>
        </w:rPr>
        <w:t xml:space="preserve"> </w:t>
      </w:r>
      <w:r w:rsidR="004B1202">
        <w:rPr>
          <w:rFonts w:ascii="Arial" w:hAnsi="Arial" w:cs="Arial"/>
          <w:sz w:val="24"/>
          <w:szCs w:val="24"/>
          <w:lang w:eastAsia="es-MX"/>
        </w:rPr>
        <w:t>la asignación de la cuota en</w:t>
      </w:r>
      <w:r w:rsidR="001011B1" w:rsidRPr="00795B97">
        <w:rPr>
          <w:rFonts w:ascii="Arial" w:hAnsi="Arial" w:cs="Arial"/>
          <w:sz w:val="24"/>
          <w:szCs w:val="24"/>
          <w:lang w:eastAsia="es-MX"/>
        </w:rPr>
        <w:t xml:space="preserve"> la integración del Congreso, </w:t>
      </w:r>
      <w:r w:rsidRPr="00795B97">
        <w:rPr>
          <w:rFonts w:ascii="Arial" w:hAnsi="Arial" w:cs="Arial"/>
          <w:sz w:val="24"/>
          <w:szCs w:val="24"/>
          <w:lang w:eastAsia="es-MX"/>
        </w:rPr>
        <w:t xml:space="preserve">los partidos políticos debían </w:t>
      </w:r>
      <w:r w:rsidR="00890D6D" w:rsidRPr="00795B97">
        <w:rPr>
          <w:rFonts w:ascii="Arial" w:hAnsi="Arial" w:cs="Arial"/>
          <w:sz w:val="24"/>
          <w:szCs w:val="24"/>
          <w:lang w:eastAsia="es-MX"/>
        </w:rPr>
        <w:t xml:space="preserve">postular </w:t>
      </w:r>
      <w:r w:rsidR="00C47799" w:rsidRPr="00795B97">
        <w:rPr>
          <w:rFonts w:ascii="Arial" w:hAnsi="Arial" w:cs="Arial"/>
          <w:sz w:val="24"/>
          <w:szCs w:val="24"/>
          <w:lang w:eastAsia="es-MX"/>
        </w:rPr>
        <w:t xml:space="preserve">dos fórmulas, </w:t>
      </w:r>
      <w:r w:rsidR="00C7272C">
        <w:rPr>
          <w:rFonts w:ascii="Arial" w:hAnsi="Arial" w:cs="Arial"/>
          <w:sz w:val="24"/>
          <w:szCs w:val="24"/>
          <w:lang w:eastAsia="es-MX"/>
        </w:rPr>
        <w:t xml:space="preserve">entre las cuales fijó </w:t>
      </w:r>
      <w:r w:rsidR="00C47799" w:rsidRPr="00795B97">
        <w:rPr>
          <w:rFonts w:ascii="Arial" w:hAnsi="Arial" w:cs="Arial"/>
          <w:sz w:val="24"/>
          <w:szCs w:val="24"/>
          <w:lang w:eastAsia="es-MX"/>
        </w:rPr>
        <w:t>una candi</w:t>
      </w:r>
      <w:r w:rsidR="00E54745" w:rsidRPr="00795B97">
        <w:rPr>
          <w:rFonts w:ascii="Arial" w:hAnsi="Arial" w:cs="Arial"/>
          <w:sz w:val="24"/>
          <w:szCs w:val="24"/>
          <w:lang w:eastAsia="es-MX"/>
        </w:rPr>
        <w:t>da</w:t>
      </w:r>
      <w:r w:rsidR="00C47799" w:rsidRPr="00795B97">
        <w:rPr>
          <w:rFonts w:ascii="Arial" w:hAnsi="Arial" w:cs="Arial"/>
          <w:sz w:val="24"/>
          <w:szCs w:val="24"/>
          <w:lang w:eastAsia="es-MX"/>
        </w:rPr>
        <w:t xml:space="preserve">tura por el principio de MR y otra por el </w:t>
      </w:r>
      <w:r w:rsidR="00890D6D" w:rsidRPr="00795B97">
        <w:rPr>
          <w:rFonts w:ascii="Arial" w:hAnsi="Arial" w:cs="Arial"/>
          <w:sz w:val="24"/>
          <w:szCs w:val="24"/>
          <w:lang w:eastAsia="es-MX"/>
        </w:rPr>
        <w:t>principio</w:t>
      </w:r>
      <w:r w:rsidR="00C47799" w:rsidRPr="00795B97">
        <w:rPr>
          <w:rFonts w:ascii="Arial" w:hAnsi="Arial" w:cs="Arial"/>
          <w:sz w:val="24"/>
          <w:szCs w:val="24"/>
          <w:lang w:eastAsia="es-MX"/>
        </w:rPr>
        <w:t xml:space="preserve"> de RP</w:t>
      </w:r>
      <w:r w:rsidRPr="00795B97">
        <w:rPr>
          <w:rFonts w:ascii="Arial" w:hAnsi="Arial" w:cs="Arial"/>
          <w:sz w:val="24"/>
          <w:szCs w:val="24"/>
          <w:lang w:eastAsia="es-MX"/>
        </w:rPr>
        <w:t>.</w:t>
      </w:r>
      <w:r w:rsidR="004B1202">
        <w:rPr>
          <w:rFonts w:ascii="Arial" w:hAnsi="Arial" w:cs="Arial"/>
          <w:sz w:val="24"/>
          <w:szCs w:val="24"/>
          <w:lang w:eastAsia="es-MX"/>
        </w:rPr>
        <w:t xml:space="preserve"> Asimismo</w:t>
      </w:r>
      <w:r w:rsidRPr="00795B97">
        <w:rPr>
          <w:rFonts w:ascii="Arial" w:hAnsi="Arial" w:cs="Arial"/>
          <w:sz w:val="24"/>
          <w:szCs w:val="24"/>
          <w:lang w:eastAsia="es-MX"/>
        </w:rPr>
        <w:t xml:space="preserve">, </w:t>
      </w:r>
      <w:r w:rsidR="004B1202">
        <w:rPr>
          <w:rFonts w:ascii="Arial" w:hAnsi="Arial" w:cs="Arial"/>
          <w:sz w:val="24"/>
          <w:szCs w:val="24"/>
          <w:lang w:eastAsia="es-MX"/>
        </w:rPr>
        <w:t xml:space="preserve">exigió que </w:t>
      </w:r>
      <w:r w:rsidRPr="00795B97">
        <w:rPr>
          <w:rFonts w:ascii="Arial" w:hAnsi="Arial" w:cs="Arial"/>
          <w:sz w:val="24"/>
          <w:szCs w:val="24"/>
          <w:lang w:eastAsia="es-MX"/>
        </w:rPr>
        <w:t xml:space="preserve">en la </w:t>
      </w:r>
      <w:r w:rsidRPr="00795B97">
        <w:rPr>
          <w:rFonts w:ascii="Arial" w:hAnsi="Arial" w:cs="Arial"/>
          <w:sz w:val="24"/>
          <w:szCs w:val="24"/>
          <w:lang w:eastAsia="es-MX"/>
        </w:rPr>
        <w:lastRenderedPageBreak/>
        <w:t xml:space="preserve">asignación </w:t>
      </w:r>
      <w:r w:rsidR="004B1202">
        <w:rPr>
          <w:rFonts w:ascii="Arial" w:hAnsi="Arial" w:cs="Arial"/>
          <w:sz w:val="24"/>
          <w:szCs w:val="24"/>
          <w:lang w:eastAsia="es-MX"/>
        </w:rPr>
        <w:t xml:space="preserve">de </w:t>
      </w:r>
      <w:r w:rsidRPr="00795B97">
        <w:rPr>
          <w:rFonts w:ascii="Arial" w:hAnsi="Arial" w:cs="Arial"/>
          <w:sz w:val="24"/>
          <w:szCs w:val="24"/>
          <w:lang w:eastAsia="es-MX"/>
        </w:rPr>
        <w:t>a</w:t>
      </w:r>
      <w:r w:rsidR="004B1202">
        <w:rPr>
          <w:rFonts w:ascii="Arial" w:hAnsi="Arial" w:cs="Arial"/>
          <w:sz w:val="24"/>
          <w:szCs w:val="24"/>
          <w:lang w:eastAsia="es-MX"/>
        </w:rPr>
        <w:t xml:space="preserve">yuntamientos debían postular </w:t>
      </w:r>
      <w:r w:rsidR="00890D6D" w:rsidRPr="00795B97">
        <w:rPr>
          <w:rFonts w:ascii="Arial" w:hAnsi="Arial" w:cs="Arial"/>
          <w:sz w:val="24"/>
          <w:szCs w:val="24"/>
          <w:lang w:eastAsia="es-MX"/>
        </w:rPr>
        <w:t>tres fórmulas</w:t>
      </w:r>
      <w:r w:rsidRPr="00795B97">
        <w:rPr>
          <w:rFonts w:ascii="Arial" w:hAnsi="Arial" w:cs="Arial"/>
          <w:sz w:val="24"/>
          <w:szCs w:val="24"/>
          <w:lang w:eastAsia="es-MX"/>
        </w:rPr>
        <w:t xml:space="preserve">, </w:t>
      </w:r>
      <w:r w:rsidR="004B1202">
        <w:rPr>
          <w:rFonts w:ascii="Arial" w:hAnsi="Arial" w:cs="Arial"/>
          <w:sz w:val="24"/>
          <w:szCs w:val="24"/>
          <w:lang w:eastAsia="es-MX"/>
        </w:rPr>
        <w:t>que correspondería</w:t>
      </w:r>
      <w:r w:rsidR="002A2EEF">
        <w:rPr>
          <w:rFonts w:ascii="Arial" w:hAnsi="Arial" w:cs="Arial"/>
          <w:sz w:val="24"/>
          <w:szCs w:val="24"/>
          <w:lang w:eastAsia="es-MX"/>
        </w:rPr>
        <w:t>n</w:t>
      </w:r>
      <w:r w:rsidR="004B1202">
        <w:rPr>
          <w:rFonts w:ascii="Arial" w:hAnsi="Arial" w:cs="Arial"/>
          <w:sz w:val="24"/>
          <w:szCs w:val="24"/>
          <w:lang w:eastAsia="es-MX"/>
        </w:rPr>
        <w:t xml:space="preserve"> a </w:t>
      </w:r>
      <w:r w:rsidR="00890D6D" w:rsidRPr="00795B97">
        <w:rPr>
          <w:rFonts w:ascii="Arial" w:hAnsi="Arial" w:cs="Arial"/>
          <w:sz w:val="24"/>
          <w:szCs w:val="24"/>
          <w:lang w:eastAsia="es-MX"/>
        </w:rPr>
        <w:t xml:space="preserve">dos candidaturas por el principio de MR y la </w:t>
      </w:r>
      <w:r w:rsidRPr="00795B97">
        <w:rPr>
          <w:rFonts w:ascii="Arial" w:hAnsi="Arial" w:cs="Arial"/>
          <w:sz w:val="24"/>
          <w:szCs w:val="24"/>
          <w:lang w:eastAsia="es-MX"/>
        </w:rPr>
        <w:t xml:space="preserve">otra </w:t>
      </w:r>
      <w:r w:rsidR="00890D6D" w:rsidRPr="00795B97">
        <w:rPr>
          <w:rFonts w:ascii="Arial" w:hAnsi="Arial" w:cs="Arial"/>
          <w:sz w:val="24"/>
          <w:szCs w:val="24"/>
          <w:lang w:eastAsia="es-MX"/>
        </w:rPr>
        <w:t xml:space="preserve">por RP. </w:t>
      </w:r>
    </w:p>
    <w:p w14:paraId="18C8F4E1" w14:textId="70670FA9" w:rsidR="00890D6D" w:rsidRPr="00795B97" w:rsidRDefault="00890D6D" w:rsidP="0017171F">
      <w:pPr>
        <w:pStyle w:val="Sinespaciado"/>
        <w:rPr>
          <w:lang w:eastAsia="es-MX"/>
        </w:rPr>
      </w:pPr>
    </w:p>
    <w:p w14:paraId="3CD0C1E0" w14:textId="25EF5702" w:rsidR="00890D6D" w:rsidRPr="00795B97" w:rsidRDefault="001F17C5" w:rsidP="00795B97">
      <w:pPr>
        <w:spacing w:line="360" w:lineRule="auto"/>
        <w:jc w:val="both"/>
        <w:rPr>
          <w:rFonts w:ascii="Arial" w:hAnsi="Arial" w:cs="Arial"/>
          <w:b/>
          <w:bCs/>
          <w:sz w:val="24"/>
          <w:szCs w:val="24"/>
          <w:lang w:eastAsia="es-MX"/>
        </w:rPr>
      </w:pPr>
      <w:r>
        <w:rPr>
          <w:rFonts w:ascii="Arial" w:hAnsi="Arial" w:cs="Arial"/>
          <w:sz w:val="24"/>
          <w:szCs w:val="24"/>
          <w:lang w:eastAsia="es-MX"/>
        </w:rPr>
        <w:t>Además</w:t>
      </w:r>
      <w:r w:rsidR="004B1202">
        <w:rPr>
          <w:rFonts w:ascii="Arial" w:hAnsi="Arial" w:cs="Arial"/>
          <w:sz w:val="24"/>
          <w:szCs w:val="24"/>
          <w:lang w:eastAsia="es-MX"/>
        </w:rPr>
        <w:t xml:space="preserve">, </w:t>
      </w:r>
      <w:r>
        <w:rPr>
          <w:rFonts w:ascii="Arial" w:hAnsi="Arial" w:cs="Arial"/>
          <w:sz w:val="24"/>
          <w:szCs w:val="24"/>
          <w:lang w:eastAsia="es-MX"/>
        </w:rPr>
        <w:t>sostuvo</w:t>
      </w:r>
      <w:r w:rsidR="00C7272C">
        <w:rPr>
          <w:rFonts w:ascii="Arial" w:hAnsi="Arial" w:cs="Arial"/>
          <w:sz w:val="24"/>
          <w:szCs w:val="24"/>
          <w:lang w:eastAsia="es-MX"/>
        </w:rPr>
        <w:t xml:space="preserve"> </w:t>
      </w:r>
      <w:proofErr w:type="gramStart"/>
      <w:r w:rsidR="00C7272C">
        <w:rPr>
          <w:rFonts w:ascii="Arial" w:hAnsi="Arial" w:cs="Arial"/>
          <w:sz w:val="24"/>
          <w:szCs w:val="24"/>
          <w:lang w:eastAsia="es-MX"/>
        </w:rPr>
        <w:t>que</w:t>
      </w:r>
      <w:proofErr w:type="gramEnd"/>
      <w:r>
        <w:rPr>
          <w:rFonts w:ascii="Arial" w:hAnsi="Arial" w:cs="Arial"/>
          <w:sz w:val="24"/>
          <w:szCs w:val="24"/>
          <w:lang w:eastAsia="es-MX"/>
        </w:rPr>
        <w:t xml:space="preserve"> </w:t>
      </w:r>
      <w:r w:rsidR="00C7272C">
        <w:rPr>
          <w:rFonts w:ascii="Arial" w:hAnsi="Arial" w:cs="Arial"/>
          <w:sz w:val="24"/>
          <w:szCs w:val="24"/>
          <w:lang w:eastAsia="es-MX"/>
        </w:rPr>
        <w:t>en ambos cargos,</w:t>
      </w:r>
      <w:r w:rsidR="00890D6D" w:rsidRPr="00795B97">
        <w:rPr>
          <w:rFonts w:ascii="Arial" w:hAnsi="Arial" w:cs="Arial"/>
          <w:sz w:val="24"/>
          <w:szCs w:val="24"/>
          <w:lang w:eastAsia="es-MX"/>
        </w:rPr>
        <w:t xml:space="preserve"> las candidaturas podían integrarse ya sea por alguna persona de la comunidad LGBTIQ+ o persona</w:t>
      </w:r>
      <w:r w:rsidR="002A2EEF">
        <w:rPr>
          <w:rFonts w:ascii="Arial" w:hAnsi="Arial" w:cs="Arial"/>
          <w:sz w:val="24"/>
          <w:szCs w:val="24"/>
          <w:lang w:eastAsia="es-MX"/>
        </w:rPr>
        <w:t>s</w:t>
      </w:r>
      <w:r w:rsidR="00890D6D" w:rsidRPr="00795B97">
        <w:rPr>
          <w:rFonts w:ascii="Arial" w:hAnsi="Arial" w:cs="Arial"/>
          <w:sz w:val="24"/>
          <w:szCs w:val="24"/>
          <w:lang w:eastAsia="es-MX"/>
        </w:rPr>
        <w:t xml:space="preserve"> con </w:t>
      </w:r>
      <w:r w:rsidR="002A2EEF">
        <w:rPr>
          <w:rFonts w:ascii="Arial" w:hAnsi="Arial" w:cs="Arial"/>
          <w:sz w:val="24"/>
          <w:szCs w:val="24"/>
          <w:lang w:eastAsia="es-MX"/>
        </w:rPr>
        <w:t xml:space="preserve">alguna </w:t>
      </w:r>
      <w:r w:rsidR="00890D6D" w:rsidRPr="00795B97">
        <w:rPr>
          <w:rFonts w:ascii="Arial" w:hAnsi="Arial" w:cs="Arial"/>
          <w:sz w:val="24"/>
          <w:szCs w:val="24"/>
          <w:lang w:eastAsia="es-MX"/>
        </w:rPr>
        <w:t xml:space="preserve">discapacidad, </w:t>
      </w:r>
      <w:r w:rsidR="00890D6D" w:rsidRPr="002F2EED">
        <w:rPr>
          <w:rFonts w:ascii="Arial" w:hAnsi="Arial" w:cs="Arial"/>
          <w:sz w:val="24"/>
          <w:szCs w:val="24"/>
          <w:lang w:eastAsia="es-MX"/>
        </w:rPr>
        <w:t>indistintamente.</w:t>
      </w:r>
      <w:r w:rsidR="00890D6D" w:rsidRPr="00795B97">
        <w:rPr>
          <w:rFonts w:ascii="Arial" w:hAnsi="Arial" w:cs="Arial"/>
          <w:b/>
          <w:bCs/>
          <w:sz w:val="24"/>
          <w:szCs w:val="24"/>
          <w:lang w:eastAsia="es-MX"/>
        </w:rPr>
        <w:t xml:space="preserve"> </w:t>
      </w:r>
    </w:p>
    <w:p w14:paraId="7C65045A" w14:textId="4A64E668" w:rsidR="00C47799" w:rsidRPr="00795B97" w:rsidRDefault="00C47799" w:rsidP="0017171F">
      <w:pPr>
        <w:pStyle w:val="Sinespaciado"/>
        <w:rPr>
          <w:lang w:eastAsia="es-MX"/>
        </w:rPr>
      </w:pPr>
    </w:p>
    <w:p w14:paraId="21125B18" w14:textId="601CB878" w:rsidR="00A03809" w:rsidRDefault="004B1202" w:rsidP="00BF7BFF">
      <w:pPr>
        <w:spacing w:line="360" w:lineRule="auto"/>
        <w:jc w:val="both"/>
        <w:rPr>
          <w:rFonts w:ascii="Arial" w:hAnsi="Arial" w:cs="Arial"/>
          <w:sz w:val="24"/>
          <w:szCs w:val="24"/>
          <w:lang w:eastAsia="es-MX"/>
        </w:rPr>
      </w:pPr>
      <w:r>
        <w:rPr>
          <w:rFonts w:ascii="Arial" w:hAnsi="Arial" w:cs="Arial"/>
          <w:sz w:val="24"/>
          <w:szCs w:val="24"/>
          <w:lang w:eastAsia="es-MX"/>
        </w:rPr>
        <w:t>En consecuencia</w:t>
      </w:r>
      <w:r w:rsidR="00CF0F58" w:rsidRPr="00795B97">
        <w:rPr>
          <w:rFonts w:ascii="Arial" w:hAnsi="Arial" w:cs="Arial"/>
          <w:sz w:val="24"/>
          <w:szCs w:val="24"/>
          <w:lang w:eastAsia="es-MX"/>
        </w:rPr>
        <w:t>, l</w:t>
      </w:r>
      <w:r>
        <w:rPr>
          <w:rFonts w:ascii="Arial" w:hAnsi="Arial" w:cs="Arial"/>
          <w:sz w:val="24"/>
          <w:szCs w:val="24"/>
          <w:lang w:eastAsia="es-MX"/>
        </w:rPr>
        <w:t>a y el pro</w:t>
      </w:r>
      <w:r w:rsidR="00C7272C">
        <w:rPr>
          <w:rFonts w:ascii="Arial" w:hAnsi="Arial" w:cs="Arial"/>
          <w:sz w:val="24"/>
          <w:szCs w:val="24"/>
          <w:lang w:eastAsia="es-MX"/>
        </w:rPr>
        <w:t>movente se inconformaron porque</w:t>
      </w:r>
      <w:r w:rsidR="00C47799" w:rsidRPr="00795B97">
        <w:rPr>
          <w:rFonts w:ascii="Arial" w:hAnsi="Arial" w:cs="Arial"/>
          <w:sz w:val="24"/>
          <w:szCs w:val="24"/>
          <w:lang w:eastAsia="es-MX"/>
        </w:rPr>
        <w:t xml:space="preserve"> </w:t>
      </w:r>
      <w:r w:rsidR="002F2EED">
        <w:rPr>
          <w:rFonts w:ascii="Arial" w:hAnsi="Arial" w:cs="Arial"/>
          <w:sz w:val="24"/>
          <w:szCs w:val="24"/>
          <w:lang w:eastAsia="es-MX"/>
        </w:rPr>
        <w:t xml:space="preserve">a su ver, </w:t>
      </w:r>
      <w:r w:rsidR="00890D6D" w:rsidRPr="00795B97">
        <w:rPr>
          <w:rFonts w:ascii="Arial" w:hAnsi="Arial" w:cs="Arial"/>
          <w:sz w:val="24"/>
          <w:szCs w:val="24"/>
          <w:lang w:eastAsia="es-MX"/>
        </w:rPr>
        <w:t>el Instituto indebidamente creó una cuota mixta</w:t>
      </w:r>
      <w:r>
        <w:rPr>
          <w:rFonts w:ascii="Arial" w:hAnsi="Arial" w:cs="Arial"/>
          <w:sz w:val="24"/>
          <w:szCs w:val="24"/>
          <w:lang w:eastAsia="es-MX"/>
        </w:rPr>
        <w:t>, lo cual</w:t>
      </w:r>
      <w:r w:rsidR="00C62883" w:rsidRPr="00795B97">
        <w:rPr>
          <w:rFonts w:ascii="Arial" w:hAnsi="Arial" w:cs="Arial"/>
          <w:sz w:val="24"/>
          <w:szCs w:val="24"/>
          <w:lang w:eastAsia="es-MX"/>
        </w:rPr>
        <w:t xml:space="preserve"> es contrario a la naturaleza de la </w:t>
      </w:r>
      <w:r w:rsidR="001C6162" w:rsidRPr="00795B97">
        <w:rPr>
          <w:rFonts w:ascii="Arial" w:hAnsi="Arial" w:cs="Arial"/>
          <w:sz w:val="24"/>
          <w:szCs w:val="24"/>
          <w:lang w:eastAsia="es-MX"/>
        </w:rPr>
        <w:t xml:space="preserve">representación, </w:t>
      </w:r>
      <w:r w:rsidR="00C62883" w:rsidRPr="00795B97">
        <w:rPr>
          <w:rFonts w:ascii="Arial" w:hAnsi="Arial" w:cs="Arial"/>
          <w:sz w:val="24"/>
          <w:szCs w:val="24"/>
          <w:lang w:eastAsia="es-MX"/>
        </w:rPr>
        <w:t xml:space="preserve">al </w:t>
      </w:r>
      <w:r w:rsidR="001C6162" w:rsidRPr="00795B97">
        <w:rPr>
          <w:rFonts w:ascii="Arial" w:hAnsi="Arial" w:cs="Arial"/>
          <w:sz w:val="24"/>
          <w:szCs w:val="24"/>
          <w:lang w:eastAsia="es-MX"/>
        </w:rPr>
        <w:t xml:space="preserve">impedir </w:t>
      </w:r>
      <w:r w:rsidR="00C62883" w:rsidRPr="00795B97">
        <w:rPr>
          <w:rFonts w:ascii="Arial" w:hAnsi="Arial" w:cs="Arial"/>
          <w:sz w:val="24"/>
          <w:szCs w:val="24"/>
          <w:lang w:eastAsia="es-MX"/>
        </w:rPr>
        <w:t xml:space="preserve">que cada grupo tenga una representación política </w:t>
      </w:r>
      <w:r w:rsidR="001C6162" w:rsidRPr="00795B97">
        <w:rPr>
          <w:rFonts w:ascii="Arial" w:hAnsi="Arial" w:cs="Arial"/>
          <w:sz w:val="24"/>
          <w:szCs w:val="24"/>
          <w:lang w:eastAsia="es-MX"/>
        </w:rPr>
        <w:t xml:space="preserve">que atienda a las </w:t>
      </w:r>
      <w:r w:rsidR="00C62883" w:rsidRPr="00795B97">
        <w:rPr>
          <w:rFonts w:ascii="Arial" w:hAnsi="Arial" w:cs="Arial"/>
          <w:sz w:val="24"/>
          <w:szCs w:val="24"/>
          <w:lang w:eastAsia="es-MX"/>
        </w:rPr>
        <w:t xml:space="preserve">necesidades específicas </w:t>
      </w:r>
      <w:r>
        <w:rPr>
          <w:rFonts w:ascii="Arial" w:hAnsi="Arial" w:cs="Arial"/>
          <w:sz w:val="24"/>
          <w:szCs w:val="24"/>
          <w:lang w:eastAsia="es-MX"/>
        </w:rPr>
        <w:t>de cada minoría</w:t>
      </w:r>
      <w:r w:rsidR="00C62883" w:rsidRPr="00795B97">
        <w:rPr>
          <w:rFonts w:ascii="Arial" w:hAnsi="Arial" w:cs="Arial"/>
          <w:sz w:val="24"/>
          <w:szCs w:val="24"/>
          <w:lang w:eastAsia="es-MX"/>
        </w:rPr>
        <w:t>.</w:t>
      </w:r>
    </w:p>
    <w:p w14:paraId="2D564E49" w14:textId="77777777" w:rsidR="00500D98" w:rsidRDefault="00500D98" w:rsidP="00500D98">
      <w:pPr>
        <w:pStyle w:val="Sinespaciado"/>
        <w:rPr>
          <w:lang w:eastAsia="es-MX"/>
        </w:rPr>
      </w:pPr>
    </w:p>
    <w:p w14:paraId="12D9FB80" w14:textId="7E6129D1" w:rsidR="00675FAF" w:rsidRDefault="00675FAF" w:rsidP="00675FAF">
      <w:pPr>
        <w:spacing w:line="360" w:lineRule="auto"/>
        <w:jc w:val="both"/>
        <w:rPr>
          <w:rFonts w:ascii="Arial" w:hAnsi="Arial" w:cs="Arial"/>
          <w:sz w:val="24"/>
          <w:szCs w:val="24"/>
          <w:lang w:eastAsia="es-MX"/>
        </w:rPr>
      </w:pPr>
      <w:r w:rsidRPr="00795B97">
        <w:rPr>
          <w:rFonts w:ascii="Arial" w:hAnsi="Arial" w:cs="Arial"/>
          <w:sz w:val="24"/>
          <w:szCs w:val="24"/>
          <w:lang w:eastAsia="es-MX"/>
        </w:rPr>
        <w:t xml:space="preserve">Este Tribunal considera que </w:t>
      </w:r>
      <w:r>
        <w:rPr>
          <w:rFonts w:ascii="Arial" w:hAnsi="Arial" w:cs="Arial"/>
          <w:b/>
          <w:bCs/>
          <w:sz w:val="24"/>
          <w:szCs w:val="24"/>
          <w:lang w:eastAsia="es-MX"/>
        </w:rPr>
        <w:t>no le</w:t>
      </w:r>
      <w:r w:rsidRPr="009864C2">
        <w:rPr>
          <w:rFonts w:ascii="Arial" w:hAnsi="Arial" w:cs="Arial"/>
          <w:b/>
          <w:bCs/>
          <w:sz w:val="24"/>
          <w:szCs w:val="24"/>
          <w:lang w:eastAsia="es-MX"/>
        </w:rPr>
        <w:t xml:space="preserve"> asiste la razón</w:t>
      </w:r>
      <w:r>
        <w:rPr>
          <w:rFonts w:ascii="Arial" w:hAnsi="Arial" w:cs="Arial"/>
          <w:sz w:val="24"/>
          <w:szCs w:val="24"/>
          <w:lang w:eastAsia="es-MX"/>
        </w:rPr>
        <w:t xml:space="preserve"> a la parte recurrente</w:t>
      </w:r>
      <w:r w:rsidRPr="00795B97">
        <w:rPr>
          <w:rFonts w:ascii="Arial" w:hAnsi="Arial" w:cs="Arial"/>
          <w:sz w:val="24"/>
          <w:szCs w:val="24"/>
          <w:lang w:eastAsia="es-MX"/>
        </w:rPr>
        <w:t xml:space="preserve"> en cuanto a que</w:t>
      </w:r>
      <w:r>
        <w:rPr>
          <w:rFonts w:ascii="Arial" w:hAnsi="Arial" w:cs="Arial"/>
          <w:sz w:val="24"/>
          <w:szCs w:val="24"/>
          <w:lang w:eastAsia="es-MX"/>
        </w:rPr>
        <w:t xml:space="preserve"> fue incorrecto que</w:t>
      </w:r>
      <w:r w:rsidRPr="00795B97">
        <w:rPr>
          <w:rFonts w:ascii="Arial" w:hAnsi="Arial" w:cs="Arial"/>
          <w:sz w:val="24"/>
          <w:szCs w:val="24"/>
          <w:lang w:eastAsia="es-MX"/>
        </w:rPr>
        <w:t xml:space="preserve"> el Instituto incluyera a ambos grupos </w:t>
      </w:r>
      <w:r>
        <w:rPr>
          <w:rFonts w:ascii="Arial" w:hAnsi="Arial" w:cs="Arial"/>
          <w:sz w:val="24"/>
          <w:szCs w:val="24"/>
          <w:lang w:eastAsia="es-MX"/>
        </w:rPr>
        <w:t xml:space="preserve">en situación de vulnerabilidad </w:t>
      </w:r>
      <w:r w:rsidRPr="00795B97">
        <w:rPr>
          <w:rFonts w:ascii="Arial" w:hAnsi="Arial" w:cs="Arial"/>
          <w:sz w:val="24"/>
          <w:szCs w:val="24"/>
          <w:lang w:eastAsia="es-MX"/>
        </w:rPr>
        <w:t>en una misma cuota, ya que</w:t>
      </w:r>
      <w:r>
        <w:rPr>
          <w:rFonts w:ascii="Arial" w:hAnsi="Arial" w:cs="Arial"/>
          <w:sz w:val="24"/>
          <w:szCs w:val="24"/>
          <w:lang w:eastAsia="es-MX"/>
        </w:rPr>
        <w:t>, distinto</w:t>
      </w:r>
      <w:r w:rsidR="002F2EED">
        <w:rPr>
          <w:rFonts w:ascii="Arial" w:hAnsi="Arial" w:cs="Arial"/>
          <w:sz w:val="24"/>
          <w:szCs w:val="24"/>
          <w:lang w:eastAsia="es-MX"/>
        </w:rPr>
        <w:t xml:space="preserve"> a</w:t>
      </w:r>
      <w:r w:rsidRPr="00795B97">
        <w:rPr>
          <w:rFonts w:ascii="Arial" w:hAnsi="Arial" w:cs="Arial"/>
          <w:sz w:val="24"/>
          <w:szCs w:val="24"/>
          <w:lang w:eastAsia="es-MX"/>
        </w:rPr>
        <w:t xml:space="preserve"> ello</w:t>
      </w:r>
      <w:r>
        <w:rPr>
          <w:rFonts w:ascii="Arial" w:hAnsi="Arial" w:cs="Arial"/>
          <w:sz w:val="24"/>
          <w:szCs w:val="24"/>
          <w:lang w:eastAsia="es-MX"/>
        </w:rPr>
        <w:t>,</w:t>
      </w:r>
      <w:r w:rsidRPr="00795B97">
        <w:rPr>
          <w:rFonts w:ascii="Arial" w:hAnsi="Arial" w:cs="Arial"/>
          <w:sz w:val="24"/>
          <w:szCs w:val="24"/>
          <w:lang w:eastAsia="es-MX"/>
        </w:rPr>
        <w:t xml:space="preserve"> </w:t>
      </w:r>
      <w:r>
        <w:rPr>
          <w:rFonts w:ascii="Arial" w:hAnsi="Arial" w:cs="Arial"/>
          <w:sz w:val="24"/>
          <w:szCs w:val="24"/>
          <w:lang w:eastAsia="es-MX"/>
        </w:rPr>
        <w:t>sí</w:t>
      </w:r>
      <w:r w:rsidRPr="00795B97">
        <w:rPr>
          <w:rFonts w:ascii="Arial" w:hAnsi="Arial" w:cs="Arial"/>
          <w:sz w:val="24"/>
          <w:szCs w:val="24"/>
          <w:lang w:eastAsia="es-MX"/>
        </w:rPr>
        <w:t xml:space="preserve"> </w:t>
      </w:r>
      <w:r>
        <w:rPr>
          <w:rFonts w:ascii="Arial" w:hAnsi="Arial" w:cs="Arial"/>
          <w:sz w:val="24"/>
          <w:szCs w:val="24"/>
          <w:lang w:eastAsia="es-MX"/>
        </w:rPr>
        <w:t xml:space="preserve">se </w:t>
      </w:r>
      <w:r w:rsidRPr="00795B97">
        <w:rPr>
          <w:rFonts w:ascii="Arial" w:hAnsi="Arial" w:cs="Arial"/>
          <w:sz w:val="24"/>
          <w:szCs w:val="24"/>
          <w:lang w:eastAsia="es-MX"/>
        </w:rPr>
        <w:t xml:space="preserve">garantiza la representación </w:t>
      </w:r>
      <w:r>
        <w:rPr>
          <w:rFonts w:ascii="Arial" w:hAnsi="Arial" w:cs="Arial"/>
          <w:sz w:val="24"/>
          <w:szCs w:val="24"/>
          <w:lang w:eastAsia="es-MX"/>
        </w:rPr>
        <w:t>de</w:t>
      </w:r>
      <w:r w:rsidRPr="00795B97">
        <w:rPr>
          <w:rFonts w:ascii="Arial" w:hAnsi="Arial" w:cs="Arial"/>
          <w:sz w:val="24"/>
          <w:szCs w:val="24"/>
          <w:lang w:eastAsia="es-MX"/>
        </w:rPr>
        <w:t xml:space="preserve"> las personas de la comunidad LGBTIQ+ y personas con alguna discapacidad en el presente proceso electoral. </w:t>
      </w:r>
    </w:p>
    <w:p w14:paraId="4F922129" w14:textId="77777777" w:rsidR="00675FAF" w:rsidRDefault="00675FAF" w:rsidP="00675FAF">
      <w:pPr>
        <w:pStyle w:val="Sinespaciado"/>
        <w:rPr>
          <w:lang w:eastAsia="es-MX"/>
        </w:rPr>
      </w:pPr>
    </w:p>
    <w:p w14:paraId="340EFC8F" w14:textId="00922A7E" w:rsidR="00675FAF" w:rsidRDefault="00675FAF" w:rsidP="00675FAF">
      <w:pPr>
        <w:spacing w:line="360" w:lineRule="auto"/>
        <w:jc w:val="both"/>
        <w:rPr>
          <w:rFonts w:ascii="Arial" w:hAnsi="Arial" w:cs="Arial"/>
          <w:sz w:val="24"/>
          <w:szCs w:val="24"/>
          <w:lang w:eastAsia="es-MX"/>
        </w:rPr>
      </w:pPr>
      <w:r w:rsidRPr="00795B97">
        <w:rPr>
          <w:rFonts w:ascii="Arial" w:hAnsi="Arial" w:cs="Arial"/>
          <w:sz w:val="24"/>
          <w:szCs w:val="24"/>
          <w:lang w:eastAsia="es-MX"/>
        </w:rPr>
        <w:t xml:space="preserve">Lo anterior, porque </w:t>
      </w:r>
      <w:r>
        <w:rPr>
          <w:rFonts w:ascii="Arial" w:hAnsi="Arial" w:cs="Arial"/>
          <w:sz w:val="24"/>
          <w:szCs w:val="24"/>
          <w:lang w:eastAsia="es-MX"/>
        </w:rPr>
        <w:t xml:space="preserve">si bien es cierto que la autoridad responsable </w:t>
      </w:r>
      <w:r w:rsidRPr="00795B97">
        <w:rPr>
          <w:rFonts w:ascii="Arial" w:hAnsi="Arial" w:cs="Arial"/>
          <w:sz w:val="24"/>
          <w:szCs w:val="24"/>
          <w:lang w:eastAsia="es-MX"/>
        </w:rPr>
        <w:t>tomó como base la r</w:t>
      </w:r>
      <w:r>
        <w:rPr>
          <w:rFonts w:ascii="Arial" w:hAnsi="Arial" w:cs="Arial"/>
          <w:sz w:val="24"/>
          <w:szCs w:val="24"/>
          <w:lang w:eastAsia="es-MX"/>
        </w:rPr>
        <w:t>epresentación que le correspondía</w:t>
      </w:r>
      <w:r w:rsidRPr="00795B97">
        <w:rPr>
          <w:rFonts w:ascii="Arial" w:hAnsi="Arial" w:cs="Arial"/>
          <w:sz w:val="24"/>
          <w:szCs w:val="24"/>
          <w:lang w:eastAsia="es-MX"/>
        </w:rPr>
        <w:t xml:space="preserve"> a las personas c</w:t>
      </w:r>
      <w:r>
        <w:rPr>
          <w:rFonts w:ascii="Arial" w:hAnsi="Arial" w:cs="Arial"/>
          <w:sz w:val="24"/>
          <w:szCs w:val="24"/>
          <w:lang w:eastAsia="es-MX"/>
        </w:rPr>
        <w:t>on discapacidad a fin de equiparar al posible presencia de la comunidad LGBTIQ+, también es que tal cálculo no le causa perjuicio a ninguno de los dos grupos minoritarios, porque ante la ausencia de datos certeros que permitieran demostrar</w:t>
      </w:r>
      <w:r w:rsidRPr="00795B97">
        <w:rPr>
          <w:rFonts w:ascii="Arial" w:hAnsi="Arial" w:cs="Arial"/>
          <w:sz w:val="24"/>
          <w:szCs w:val="24"/>
          <w:lang w:eastAsia="es-MX"/>
        </w:rPr>
        <w:t xml:space="preserve"> el porcentaje de </w:t>
      </w:r>
      <w:r>
        <w:rPr>
          <w:rFonts w:ascii="Arial" w:hAnsi="Arial" w:cs="Arial"/>
          <w:sz w:val="24"/>
          <w:szCs w:val="24"/>
          <w:lang w:eastAsia="es-MX"/>
        </w:rPr>
        <w:t xml:space="preserve">representación de las </w:t>
      </w:r>
      <w:r w:rsidRPr="00795B97">
        <w:rPr>
          <w:rFonts w:ascii="Arial" w:hAnsi="Arial" w:cs="Arial"/>
          <w:sz w:val="24"/>
          <w:szCs w:val="24"/>
          <w:lang w:eastAsia="es-MX"/>
        </w:rPr>
        <w:t>p</w:t>
      </w:r>
      <w:r>
        <w:rPr>
          <w:rFonts w:ascii="Arial" w:hAnsi="Arial" w:cs="Arial"/>
          <w:sz w:val="24"/>
          <w:szCs w:val="24"/>
          <w:lang w:eastAsia="es-MX"/>
        </w:rPr>
        <w:t>ersonas de la diversidad sexual, no era posible establecer</w:t>
      </w:r>
      <w:r w:rsidR="002F2EED">
        <w:rPr>
          <w:rFonts w:ascii="Arial" w:hAnsi="Arial" w:cs="Arial"/>
          <w:sz w:val="24"/>
          <w:szCs w:val="24"/>
          <w:lang w:eastAsia="es-MX"/>
        </w:rPr>
        <w:t xml:space="preserve"> un</w:t>
      </w:r>
      <w:r>
        <w:rPr>
          <w:rFonts w:ascii="Arial" w:hAnsi="Arial" w:cs="Arial"/>
          <w:sz w:val="24"/>
          <w:szCs w:val="24"/>
          <w:lang w:eastAsia="es-MX"/>
        </w:rPr>
        <w:t xml:space="preserve"> parámetro idéntico, </w:t>
      </w:r>
      <w:r w:rsidR="002F2EED">
        <w:rPr>
          <w:rFonts w:ascii="Arial" w:hAnsi="Arial" w:cs="Arial"/>
          <w:sz w:val="24"/>
          <w:szCs w:val="24"/>
          <w:lang w:eastAsia="es-MX"/>
        </w:rPr>
        <w:t>ya que</w:t>
      </w:r>
      <w:r>
        <w:rPr>
          <w:rFonts w:ascii="Arial" w:hAnsi="Arial" w:cs="Arial"/>
          <w:sz w:val="24"/>
          <w:szCs w:val="24"/>
          <w:lang w:eastAsia="es-MX"/>
        </w:rPr>
        <w:t xml:space="preserve"> tampoco era proporcional para identificar la posible representación que dicho grupo.</w:t>
      </w:r>
    </w:p>
    <w:p w14:paraId="3DFBCB8C" w14:textId="77777777" w:rsidR="00675FAF" w:rsidRPr="0017171F" w:rsidRDefault="00675FAF" w:rsidP="00675FAF">
      <w:pPr>
        <w:pStyle w:val="Sinespaciado"/>
      </w:pPr>
    </w:p>
    <w:p w14:paraId="7FBC8C47" w14:textId="77777777" w:rsidR="00675FAF" w:rsidRDefault="00675FAF" w:rsidP="00675FAF">
      <w:pPr>
        <w:spacing w:line="360" w:lineRule="auto"/>
        <w:jc w:val="both"/>
        <w:rPr>
          <w:rFonts w:ascii="Arial" w:hAnsi="Arial" w:cs="Arial"/>
          <w:sz w:val="24"/>
          <w:szCs w:val="24"/>
          <w:lang w:eastAsia="es-MX"/>
        </w:rPr>
      </w:pPr>
      <w:r>
        <w:rPr>
          <w:rFonts w:ascii="Arial" w:hAnsi="Arial" w:cs="Arial"/>
          <w:sz w:val="24"/>
          <w:szCs w:val="24"/>
          <w:lang w:eastAsia="es-MX"/>
        </w:rPr>
        <w:t xml:space="preserve">De ahí que, la responsable </w:t>
      </w:r>
      <w:r w:rsidRPr="00795B97">
        <w:rPr>
          <w:rFonts w:ascii="Arial" w:hAnsi="Arial" w:cs="Arial"/>
          <w:sz w:val="24"/>
          <w:szCs w:val="24"/>
          <w:lang w:eastAsia="es-MX"/>
        </w:rPr>
        <w:t xml:space="preserve">al momento de </w:t>
      </w:r>
      <w:r>
        <w:rPr>
          <w:rFonts w:ascii="Arial" w:hAnsi="Arial" w:cs="Arial"/>
          <w:sz w:val="24"/>
          <w:szCs w:val="24"/>
          <w:lang w:eastAsia="es-MX"/>
        </w:rPr>
        <w:t xml:space="preserve">realizar </w:t>
      </w:r>
      <w:r w:rsidRPr="00795B97">
        <w:rPr>
          <w:rFonts w:ascii="Arial" w:hAnsi="Arial" w:cs="Arial"/>
          <w:sz w:val="24"/>
          <w:szCs w:val="24"/>
          <w:lang w:eastAsia="es-MX"/>
        </w:rPr>
        <w:t xml:space="preserve">la asignación incluyó a </w:t>
      </w:r>
      <w:r>
        <w:rPr>
          <w:rFonts w:ascii="Arial" w:hAnsi="Arial" w:cs="Arial"/>
          <w:sz w:val="24"/>
          <w:szCs w:val="24"/>
          <w:lang w:eastAsia="es-MX"/>
        </w:rPr>
        <w:t>a</w:t>
      </w:r>
      <w:r w:rsidRPr="00795B97">
        <w:rPr>
          <w:rFonts w:ascii="Arial" w:hAnsi="Arial" w:cs="Arial"/>
          <w:sz w:val="24"/>
          <w:szCs w:val="24"/>
          <w:lang w:eastAsia="es-MX"/>
        </w:rPr>
        <w:t>mbos grupo</w:t>
      </w:r>
      <w:r>
        <w:rPr>
          <w:rFonts w:ascii="Arial" w:hAnsi="Arial" w:cs="Arial"/>
          <w:sz w:val="24"/>
          <w:szCs w:val="24"/>
          <w:lang w:eastAsia="es-MX"/>
        </w:rPr>
        <w:t xml:space="preserve">s en una sola cuota para que los partidos políticos designaran indistintamente personas de cualquier grupo vulnerable, por tanto, fue correcto que se estableciera una cuota mixta para la postulación de candidaturas de ambos grupos minoritarios. </w:t>
      </w:r>
    </w:p>
    <w:p w14:paraId="7F5E7880" w14:textId="77777777" w:rsidR="00675FAF" w:rsidRPr="0017171F" w:rsidRDefault="00675FAF" w:rsidP="00675FAF">
      <w:pPr>
        <w:pStyle w:val="Sinespaciado"/>
      </w:pPr>
    </w:p>
    <w:p w14:paraId="6641B850" w14:textId="566B708B" w:rsidR="00675FAF" w:rsidRPr="00795B97" w:rsidRDefault="00675FAF" w:rsidP="00675FAF">
      <w:pPr>
        <w:spacing w:line="360" w:lineRule="auto"/>
        <w:jc w:val="both"/>
        <w:rPr>
          <w:rFonts w:ascii="Arial" w:hAnsi="Arial" w:cs="Arial"/>
          <w:sz w:val="24"/>
          <w:szCs w:val="24"/>
          <w:lang w:eastAsia="es-MX"/>
        </w:rPr>
      </w:pPr>
      <w:r>
        <w:rPr>
          <w:rFonts w:ascii="Arial" w:hAnsi="Arial" w:cs="Arial"/>
          <w:sz w:val="24"/>
          <w:szCs w:val="24"/>
          <w:lang w:eastAsia="es-MX"/>
        </w:rPr>
        <w:t xml:space="preserve">Asimismo, </w:t>
      </w:r>
      <w:r w:rsidRPr="00795B97">
        <w:rPr>
          <w:rFonts w:ascii="Arial" w:hAnsi="Arial" w:cs="Arial"/>
          <w:sz w:val="24"/>
          <w:szCs w:val="24"/>
          <w:lang w:eastAsia="es-MX"/>
        </w:rPr>
        <w:t xml:space="preserve">en el acto reclamado se </w:t>
      </w:r>
      <w:r>
        <w:rPr>
          <w:rFonts w:ascii="Arial" w:hAnsi="Arial" w:cs="Arial"/>
          <w:sz w:val="24"/>
          <w:szCs w:val="24"/>
          <w:lang w:eastAsia="es-MX"/>
        </w:rPr>
        <w:t>estableció</w:t>
      </w:r>
      <w:r w:rsidRPr="00795B97">
        <w:rPr>
          <w:rFonts w:ascii="Arial" w:hAnsi="Arial" w:cs="Arial"/>
          <w:sz w:val="24"/>
          <w:szCs w:val="24"/>
          <w:lang w:eastAsia="es-MX"/>
        </w:rPr>
        <w:t xml:space="preserve"> la </w:t>
      </w:r>
      <w:r>
        <w:rPr>
          <w:rFonts w:ascii="Arial" w:hAnsi="Arial" w:cs="Arial"/>
          <w:sz w:val="24"/>
          <w:szCs w:val="24"/>
          <w:lang w:eastAsia="es-MX"/>
        </w:rPr>
        <w:t xml:space="preserve">permisión de que </w:t>
      </w:r>
      <w:r w:rsidRPr="00795B97">
        <w:rPr>
          <w:rFonts w:ascii="Arial" w:hAnsi="Arial" w:cs="Arial"/>
          <w:sz w:val="24"/>
          <w:szCs w:val="24"/>
          <w:lang w:eastAsia="es-MX"/>
        </w:rPr>
        <w:t xml:space="preserve">los partidos políticos </w:t>
      </w:r>
      <w:r>
        <w:rPr>
          <w:rFonts w:ascii="Arial" w:hAnsi="Arial" w:cs="Arial"/>
          <w:sz w:val="24"/>
          <w:szCs w:val="24"/>
          <w:lang w:eastAsia="es-MX"/>
        </w:rPr>
        <w:t xml:space="preserve">eligieran </w:t>
      </w:r>
      <w:r w:rsidRPr="00795B97">
        <w:rPr>
          <w:rFonts w:ascii="Arial" w:hAnsi="Arial" w:cs="Arial"/>
          <w:sz w:val="24"/>
          <w:szCs w:val="24"/>
          <w:lang w:eastAsia="es-MX"/>
        </w:rPr>
        <w:t xml:space="preserve">indistintamente </w:t>
      </w:r>
      <w:r>
        <w:rPr>
          <w:rFonts w:ascii="Arial" w:hAnsi="Arial" w:cs="Arial"/>
          <w:sz w:val="24"/>
          <w:szCs w:val="24"/>
          <w:lang w:eastAsia="es-MX"/>
        </w:rPr>
        <w:t>entre cualquiera de los</w:t>
      </w:r>
      <w:r w:rsidRPr="00795B97">
        <w:rPr>
          <w:rFonts w:ascii="Arial" w:hAnsi="Arial" w:cs="Arial"/>
          <w:sz w:val="24"/>
          <w:szCs w:val="24"/>
          <w:lang w:eastAsia="es-MX"/>
        </w:rPr>
        <w:t xml:space="preserve"> grupos</w:t>
      </w:r>
      <w:r>
        <w:rPr>
          <w:rFonts w:ascii="Arial" w:hAnsi="Arial" w:cs="Arial"/>
          <w:sz w:val="24"/>
          <w:szCs w:val="24"/>
          <w:lang w:eastAsia="es-MX"/>
        </w:rPr>
        <w:t xml:space="preserve"> minoritarios, y así, en el uso de facultad autoorganizativa y libre autodeterminación, tuvieran la posibilidad de realizar las postulaciones de las candidaturas de </w:t>
      </w:r>
      <w:r w:rsidR="002F2EED">
        <w:rPr>
          <w:rFonts w:ascii="Arial" w:hAnsi="Arial" w:cs="Arial"/>
          <w:sz w:val="24"/>
          <w:szCs w:val="24"/>
          <w:lang w:eastAsia="es-MX"/>
        </w:rPr>
        <w:t>tales</w:t>
      </w:r>
      <w:r>
        <w:rPr>
          <w:rFonts w:ascii="Arial" w:hAnsi="Arial" w:cs="Arial"/>
          <w:sz w:val="24"/>
          <w:szCs w:val="24"/>
          <w:lang w:eastAsia="es-MX"/>
        </w:rPr>
        <w:t xml:space="preserve"> grupos </w:t>
      </w:r>
      <w:r w:rsidRPr="00795B97">
        <w:rPr>
          <w:rFonts w:ascii="Arial" w:hAnsi="Arial" w:cs="Arial"/>
          <w:sz w:val="24"/>
          <w:szCs w:val="24"/>
          <w:lang w:eastAsia="es-MX"/>
        </w:rPr>
        <w:t xml:space="preserve">para </w:t>
      </w:r>
      <w:r>
        <w:rPr>
          <w:rFonts w:ascii="Arial" w:hAnsi="Arial" w:cs="Arial"/>
          <w:sz w:val="24"/>
          <w:szCs w:val="24"/>
          <w:lang w:eastAsia="es-MX"/>
        </w:rPr>
        <w:t xml:space="preserve">garantizar el adecuado cumplimiento de las acciones afirmativas implementadas por la propia autoridad responsable. </w:t>
      </w:r>
    </w:p>
    <w:p w14:paraId="0248D1F9" w14:textId="77777777" w:rsidR="00675FAF" w:rsidRPr="00795B97" w:rsidRDefault="00675FAF" w:rsidP="00675FAF">
      <w:pPr>
        <w:pStyle w:val="Sinespaciado"/>
        <w:rPr>
          <w:lang w:eastAsia="es-MX"/>
        </w:rPr>
      </w:pPr>
    </w:p>
    <w:p w14:paraId="3EABE911" w14:textId="77777777" w:rsidR="00675FAF" w:rsidRPr="00795B97" w:rsidRDefault="00675FAF" w:rsidP="00675FAF">
      <w:pPr>
        <w:spacing w:line="360" w:lineRule="auto"/>
        <w:jc w:val="both"/>
        <w:rPr>
          <w:rFonts w:ascii="Arial" w:hAnsi="Arial" w:cs="Arial"/>
          <w:sz w:val="24"/>
          <w:szCs w:val="24"/>
          <w:lang w:eastAsia="es-MX"/>
        </w:rPr>
      </w:pPr>
      <w:r>
        <w:rPr>
          <w:rFonts w:ascii="Arial" w:hAnsi="Arial" w:cs="Arial"/>
          <w:sz w:val="24"/>
          <w:szCs w:val="24"/>
          <w:lang w:eastAsia="es-MX"/>
        </w:rPr>
        <w:t xml:space="preserve">Por ello, </w:t>
      </w:r>
      <w:r w:rsidRPr="00795B97">
        <w:rPr>
          <w:rFonts w:ascii="Arial" w:hAnsi="Arial" w:cs="Arial"/>
          <w:sz w:val="24"/>
          <w:szCs w:val="24"/>
          <w:lang w:eastAsia="es-MX"/>
        </w:rPr>
        <w:t>el c</w:t>
      </w:r>
      <w:r>
        <w:rPr>
          <w:rFonts w:ascii="Arial" w:hAnsi="Arial" w:cs="Arial"/>
          <w:sz w:val="24"/>
          <w:szCs w:val="24"/>
          <w:lang w:eastAsia="es-MX"/>
        </w:rPr>
        <w:t>ál</w:t>
      </w:r>
      <w:r w:rsidRPr="00795B97">
        <w:rPr>
          <w:rFonts w:ascii="Arial" w:hAnsi="Arial" w:cs="Arial"/>
          <w:sz w:val="24"/>
          <w:szCs w:val="24"/>
          <w:lang w:eastAsia="es-MX"/>
        </w:rPr>
        <w:t xml:space="preserve">culo realizado por el Instituto local fue suficiente para garantizar la representación de ambos grupos y, </w:t>
      </w:r>
      <w:r>
        <w:rPr>
          <w:rFonts w:ascii="Arial" w:hAnsi="Arial" w:cs="Arial"/>
          <w:sz w:val="24"/>
          <w:szCs w:val="24"/>
          <w:lang w:eastAsia="es-MX"/>
        </w:rPr>
        <w:t>en consecuencia</w:t>
      </w:r>
      <w:r w:rsidRPr="00795B97">
        <w:rPr>
          <w:rFonts w:ascii="Arial" w:hAnsi="Arial" w:cs="Arial"/>
          <w:sz w:val="24"/>
          <w:szCs w:val="24"/>
          <w:lang w:eastAsia="es-MX"/>
        </w:rPr>
        <w:t xml:space="preserve">, </w:t>
      </w:r>
      <w:r>
        <w:rPr>
          <w:rFonts w:ascii="Arial" w:hAnsi="Arial" w:cs="Arial"/>
          <w:sz w:val="24"/>
          <w:szCs w:val="24"/>
          <w:lang w:eastAsia="es-MX"/>
        </w:rPr>
        <w:t xml:space="preserve">no </w:t>
      </w:r>
      <w:r w:rsidRPr="00795B97">
        <w:rPr>
          <w:rFonts w:ascii="Arial" w:hAnsi="Arial" w:cs="Arial"/>
          <w:sz w:val="24"/>
          <w:szCs w:val="24"/>
          <w:lang w:eastAsia="es-MX"/>
        </w:rPr>
        <w:t>se ap</w:t>
      </w:r>
      <w:r>
        <w:rPr>
          <w:rFonts w:ascii="Arial" w:hAnsi="Arial" w:cs="Arial"/>
          <w:sz w:val="24"/>
          <w:szCs w:val="24"/>
          <w:lang w:eastAsia="es-MX"/>
        </w:rPr>
        <w:t>ar</w:t>
      </w:r>
      <w:r w:rsidRPr="00795B97">
        <w:rPr>
          <w:rFonts w:ascii="Arial" w:hAnsi="Arial" w:cs="Arial"/>
          <w:sz w:val="24"/>
          <w:szCs w:val="24"/>
          <w:lang w:eastAsia="es-MX"/>
        </w:rPr>
        <w:t>t</w:t>
      </w:r>
      <w:r>
        <w:rPr>
          <w:rFonts w:ascii="Arial" w:hAnsi="Arial" w:cs="Arial"/>
          <w:sz w:val="24"/>
          <w:szCs w:val="24"/>
          <w:lang w:eastAsia="es-MX"/>
        </w:rPr>
        <w:t>ó</w:t>
      </w:r>
      <w:r w:rsidRPr="00795B97">
        <w:rPr>
          <w:rFonts w:ascii="Arial" w:hAnsi="Arial" w:cs="Arial"/>
          <w:sz w:val="24"/>
          <w:szCs w:val="24"/>
          <w:lang w:eastAsia="es-MX"/>
        </w:rPr>
        <w:t xml:space="preserve"> del parámetro de regul</w:t>
      </w:r>
      <w:r>
        <w:rPr>
          <w:rFonts w:ascii="Arial" w:hAnsi="Arial" w:cs="Arial"/>
          <w:sz w:val="24"/>
          <w:szCs w:val="24"/>
          <w:lang w:eastAsia="es-MX"/>
        </w:rPr>
        <w:t>ar</w:t>
      </w:r>
      <w:r w:rsidRPr="00795B97">
        <w:rPr>
          <w:rFonts w:ascii="Arial" w:hAnsi="Arial" w:cs="Arial"/>
          <w:sz w:val="24"/>
          <w:szCs w:val="24"/>
          <w:lang w:eastAsia="es-MX"/>
        </w:rPr>
        <w:t>idad constitucional vigente en nuestro sistema jurídico</w:t>
      </w:r>
      <w:r>
        <w:rPr>
          <w:rFonts w:ascii="Arial" w:hAnsi="Arial" w:cs="Arial"/>
          <w:sz w:val="24"/>
          <w:szCs w:val="24"/>
          <w:lang w:eastAsia="es-MX"/>
        </w:rPr>
        <w:t>,</w:t>
      </w:r>
      <w:r w:rsidRPr="00795B97">
        <w:rPr>
          <w:rFonts w:ascii="Arial" w:hAnsi="Arial" w:cs="Arial"/>
          <w:sz w:val="24"/>
          <w:szCs w:val="24"/>
          <w:lang w:eastAsia="es-MX"/>
        </w:rPr>
        <w:t xml:space="preserve"> que obliga a las autoridades tanto jurisdiccionales como administrativas a salvaguardar los derechos políticos-electorales de </w:t>
      </w:r>
      <w:r>
        <w:rPr>
          <w:rFonts w:ascii="Arial" w:hAnsi="Arial" w:cs="Arial"/>
          <w:sz w:val="24"/>
          <w:szCs w:val="24"/>
          <w:lang w:eastAsia="es-MX"/>
        </w:rPr>
        <w:t>los grupos minoritarios.</w:t>
      </w:r>
    </w:p>
    <w:p w14:paraId="64190013" w14:textId="77777777" w:rsidR="00675FAF" w:rsidRPr="00795B97" w:rsidRDefault="00675FAF" w:rsidP="00675FAF">
      <w:pPr>
        <w:pStyle w:val="Sinespaciado"/>
        <w:rPr>
          <w:lang w:eastAsia="es-MX"/>
        </w:rPr>
      </w:pPr>
      <w:r w:rsidRPr="00795B97">
        <w:rPr>
          <w:lang w:eastAsia="es-MX"/>
        </w:rPr>
        <w:t xml:space="preserve"> </w:t>
      </w:r>
    </w:p>
    <w:p w14:paraId="1E7896D1" w14:textId="3556D6D5" w:rsidR="009864C2" w:rsidRDefault="00675FAF" w:rsidP="00675FAF">
      <w:pPr>
        <w:pStyle w:val="Sinespaciado"/>
        <w:spacing w:line="360" w:lineRule="auto"/>
        <w:jc w:val="both"/>
        <w:rPr>
          <w:lang w:eastAsia="es-MX"/>
        </w:rPr>
      </w:pPr>
      <w:r>
        <w:rPr>
          <w:rFonts w:ascii="Arial" w:hAnsi="Arial" w:cs="Arial"/>
          <w:sz w:val="24"/>
          <w:szCs w:val="24"/>
          <w:lang w:eastAsia="es-MX"/>
        </w:rPr>
        <w:lastRenderedPageBreak/>
        <w:t>Así que distinto a lo que refiere</w:t>
      </w:r>
      <w:r w:rsidR="002F2EED">
        <w:rPr>
          <w:rFonts w:ascii="Arial" w:hAnsi="Arial" w:cs="Arial"/>
          <w:sz w:val="24"/>
          <w:szCs w:val="24"/>
          <w:lang w:eastAsia="es-MX"/>
        </w:rPr>
        <w:t>n</w:t>
      </w:r>
      <w:r>
        <w:rPr>
          <w:rFonts w:ascii="Arial" w:hAnsi="Arial" w:cs="Arial"/>
          <w:sz w:val="24"/>
          <w:szCs w:val="24"/>
          <w:lang w:eastAsia="es-MX"/>
        </w:rPr>
        <w:t xml:space="preserve"> la y el promovente, </w:t>
      </w:r>
      <w:r w:rsidRPr="00795B97">
        <w:rPr>
          <w:rFonts w:ascii="Arial" w:hAnsi="Arial" w:cs="Arial"/>
          <w:sz w:val="24"/>
          <w:szCs w:val="24"/>
          <w:lang w:eastAsia="es-MX"/>
        </w:rPr>
        <w:t>las acciones afirmativas adoptadas</w:t>
      </w:r>
      <w:r>
        <w:rPr>
          <w:rFonts w:ascii="Arial" w:hAnsi="Arial" w:cs="Arial"/>
          <w:sz w:val="24"/>
          <w:szCs w:val="24"/>
          <w:lang w:eastAsia="es-MX"/>
        </w:rPr>
        <w:t xml:space="preserve"> por la</w:t>
      </w:r>
      <w:r w:rsidRPr="00795B97">
        <w:rPr>
          <w:rFonts w:ascii="Arial" w:hAnsi="Arial" w:cs="Arial"/>
          <w:sz w:val="24"/>
          <w:szCs w:val="24"/>
          <w:lang w:eastAsia="es-MX"/>
        </w:rPr>
        <w:t xml:space="preserve"> autoridad responsable </w:t>
      </w:r>
      <w:r>
        <w:rPr>
          <w:rFonts w:ascii="Arial" w:hAnsi="Arial" w:cs="Arial"/>
          <w:sz w:val="24"/>
          <w:szCs w:val="24"/>
          <w:lang w:eastAsia="es-MX"/>
        </w:rPr>
        <w:t xml:space="preserve">fueron </w:t>
      </w:r>
      <w:r w:rsidRPr="00795B97">
        <w:rPr>
          <w:rFonts w:ascii="Arial" w:hAnsi="Arial" w:cs="Arial"/>
          <w:sz w:val="24"/>
          <w:szCs w:val="24"/>
          <w:lang w:eastAsia="es-MX"/>
        </w:rPr>
        <w:t xml:space="preserve">efectivas, porque garantizan el acceso </w:t>
      </w:r>
      <w:r>
        <w:rPr>
          <w:rFonts w:ascii="Arial" w:hAnsi="Arial" w:cs="Arial"/>
          <w:sz w:val="24"/>
          <w:szCs w:val="24"/>
          <w:lang w:eastAsia="es-MX"/>
        </w:rPr>
        <w:t xml:space="preserve">pleno </w:t>
      </w:r>
      <w:r w:rsidRPr="00795B97">
        <w:rPr>
          <w:rFonts w:ascii="Arial" w:hAnsi="Arial" w:cs="Arial"/>
          <w:sz w:val="24"/>
          <w:szCs w:val="24"/>
          <w:lang w:eastAsia="es-MX"/>
        </w:rPr>
        <w:t xml:space="preserve">de los grupos </w:t>
      </w:r>
      <w:r>
        <w:rPr>
          <w:rFonts w:ascii="Arial" w:hAnsi="Arial" w:cs="Arial"/>
          <w:sz w:val="24"/>
          <w:szCs w:val="24"/>
          <w:lang w:eastAsia="es-MX"/>
        </w:rPr>
        <w:t>en situación de vulnerabilidad</w:t>
      </w:r>
      <w:r w:rsidRPr="00795B97">
        <w:rPr>
          <w:rFonts w:ascii="Arial" w:hAnsi="Arial" w:cs="Arial"/>
          <w:sz w:val="24"/>
          <w:szCs w:val="24"/>
          <w:lang w:eastAsia="es-MX"/>
        </w:rPr>
        <w:t xml:space="preserve"> para que sean postulados a cargos de elección popular y</w:t>
      </w:r>
      <w:r>
        <w:rPr>
          <w:rFonts w:ascii="Arial" w:hAnsi="Arial" w:cs="Arial"/>
          <w:sz w:val="24"/>
          <w:szCs w:val="24"/>
          <w:lang w:eastAsia="es-MX"/>
        </w:rPr>
        <w:t>,</w:t>
      </w:r>
      <w:r w:rsidRPr="00795B97">
        <w:rPr>
          <w:rFonts w:ascii="Arial" w:hAnsi="Arial" w:cs="Arial"/>
          <w:sz w:val="24"/>
          <w:szCs w:val="24"/>
          <w:lang w:eastAsia="es-MX"/>
        </w:rPr>
        <w:t xml:space="preserve"> en su caso, </w:t>
      </w:r>
      <w:r>
        <w:rPr>
          <w:rFonts w:ascii="Arial" w:hAnsi="Arial" w:cs="Arial"/>
          <w:sz w:val="24"/>
          <w:szCs w:val="24"/>
          <w:lang w:eastAsia="es-MX"/>
        </w:rPr>
        <w:t>ocupen</w:t>
      </w:r>
      <w:r w:rsidRPr="00795B97">
        <w:rPr>
          <w:rFonts w:ascii="Arial" w:hAnsi="Arial" w:cs="Arial"/>
          <w:sz w:val="24"/>
          <w:szCs w:val="24"/>
          <w:lang w:eastAsia="es-MX"/>
        </w:rPr>
        <w:t xml:space="preserve"> cargo</w:t>
      </w:r>
      <w:r>
        <w:rPr>
          <w:rFonts w:ascii="Arial" w:hAnsi="Arial" w:cs="Arial"/>
          <w:sz w:val="24"/>
          <w:szCs w:val="24"/>
          <w:lang w:eastAsia="es-MX"/>
        </w:rPr>
        <w:t>s</w:t>
      </w:r>
      <w:r w:rsidRPr="00795B97">
        <w:rPr>
          <w:rFonts w:ascii="Arial" w:hAnsi="Arial" w:cs="Arial"/>
          <w:sz w:val="24"/>
          <w:szCs w:val="24"/>
          <w:lang w:eastAsia="es-MX"/>
        </w:rPr>
        <w:t xml:space="preserve"> públicos para el proceso electoral en curso</w:t>
      </w:r>
      <w:r>
        <w:rPr>
          <w:rFonts w:ascii="Arial" w:hAnsi="Arial" w:cs="Arial"/>
          <w:sz w:val="24"/>
          <w:szCs w:val="24"/>
          <w:lang w:eastAsia="es-MX"/>
        </w:rPr>
        <w:t>.</w:t>
      </w:r>
    </w:p>
    <w:p w14:paraId="0B2F838E" w14:textId="38D6A851" w:rsidR="00890D6D" w:rsidRPr="00795B97" w:rsidRDefault="00890D6D" w:rsidP="00257B1C">
      <w:pPr>
        <w:pStyle w:val="Sinespaciado"/>
        <w:rPr>
          <w:rFonts w:ascii="Arial" w:hAnsi="Arial" w:cs="Arial"/>
          <w:sz w:val="24"/>
          <w:szCs w:val="24"/>
          <w:lang w:eastAsia="es-MX"/>
        </w:rPr>
      </w:pPr>
    </w:p>
    <w:p w14:paraId="135D3FAA" w14:textId="4F41E89B" w:rsidR="00890D6D" w:rsidRPr="00371850" w:rsidRDefault="00890D6D" w:rsidP="00371850">
      <w:pPr>
        <w:spacing w:line="360" w:lineRule="auto"/>
        <w:rPr>
          <w:rFonts w:ascii="Arial" w:hAnsi="Arial" w:cs="Arial"/>
          <w:b/>
          <w:bCs/>
          <w:sz w:val="24"/>
          <w:szCs w:val="24"/>
          <w:u w:val="single"/>
          <w:lang w:eastAsia="es-MX"/>
        </w:rPr>
      </w:pPr>
      <w:r w:rsidRPr="00371850">
        <w:rPr>
          <w:rFonts w:ascii="Arial" w:hAnsi="Arial" w:cs="Arial"/>
          <w:b/>
          <w:bCs/>
          <w:sz w:val="24"/>
          <w:szCs w:val="24"/>
          <w:u w:val="single"/>
          <w:lang w:eastAsia="es-MX"/>
        </w:rPr>
        <w:t>Tema 2. De la representación de la comunidad LGBTIQ+ en el Estado</w:t>
      </w:r>
    </w:p>
    <w:p w14:paraId="79B4EB6D" w14:textId="2CB8B3E7" w:rsidR="00C62883" w:rsidRPr="00795B97" w:rsidRDefault="00C62883" w:rsidP="00ED41AE">
      <w:pPr>
        <w:pStyle w:val="Sinespaciado"/>
        <w:rPr>
          <w:lang w:eastAsia="es-MX"/>
        </w:rPr>
      </w:pPr>
    </w:p>
    <w:p w14:paraId="41DE2C71" w14:textId="77777777" w:rsidR="00675FAF" w:rsidRPr="00675FAF" w:rsidRDefault="00675FAF" w:rsidP="00675FAF">
      <w:pPr>
        <w:pStyle w:val="Sinespaciado"/>
        <w:spacing w:line="360" w:lineRule="auto"/>
        <w:jc w:val="both"/>
        <w:rPr>
          <w:rFonts w:ascii="Arial" w:hAnsi="Arial" w:cs="Arial"/>
          <w:sz w:val="24"/>
          <w:szCs w:val="24"/>
          <w:lang w:eastAsia="es-MX"/>
        </w:rPr>
      </w:pPr>
      <w:r w:rsidRPr="00675FAF">
        <w:rPr>
          <w:rFonts w:ascii="Arial" w:hAnsi="Arial" w:cs="Arial"/>
          <w:sz w:val="24"/>
          <w:szCs w:val="24"/>
          <w:lang w:eastAsia="es-MX"/>
        </w:rPr>
        <w:t xml:space="preserve">La parte recurrente afirma que el Instituto local efectuó una interpretación restrictiva, ya que lo correcto era que al tratarse de grupos distintos el porcentaje fijado (6.80%) se duplicara, obteniendo un total de 13.6%. Así que lo correcto era establecer 4 fórmulas y no 2, como en el caso lo realizó, porque así se permitiría un adecuado acceso para las personas de la diversidad sexual y las personas con discapacidad. </w:t>
      </w:r>
    </w:p>
    <w:p w14:paraId="035BC75E" w14:textId="77777777" w:rsidR="00675FAF" w:rsidRPr="00500D98" w:rsidRDefault="00675FAF" w:rsidP="00500D98">
      <w:pPr>
        <w:pStyle w:val="Sinespaciado"/>
      </w:pPr>
    </w:p>
    <w:p w14:paraId="72FC0C3B" w14:textId="77777777" w:rsidR="00675FAF" w:rsidRPr="00675FAF" w:rsidRDefault="00675FAF" w:rsidP="00675FAF">
      <w:pPr>
        <w:pStyle w:val="Sinespaciado"/>
        <w:spacing w:line="360" w:lineRule="auto"/>
        <w:jc w:val="both"/>
        <w:rPr>
          <w:rFonts w:ascii="Arial" w:hAnsi="Arial" w:cs="Arial"/>
          <w:sz w:val="24"/>
          <w:szCs w:val="24"/>
          <w:lang w:eastAsia="es-MX"/>
        </w:rPr>
      </w:pPr>
      <w:r w:rsidRPr="00675FAF">
        <w:rPr>
          <w:rFonts w:ascii="Arial" w:hAnsi="Arial" w:cs="Arial"/>
          <w:sz w:val="24"/>
          <w:szCs w:val="24"/>
          <w:lang w:eastAsia="es-MX"/>
        </w:rPr>
        <w:t xml:space="preserve">En el caso, el Instituto realizó un análisis con el propósito de establecer la proporcionalidad de la representatividad de las personas con discapacidad en el Estado. Para ello, tomó como base los datos estadísticos generados por el Instituto Nacional de Estadística y Geografía (INEGI) referentes a la población que presenta alguna discapacidad y, en un segundo momento, calculó la ciudadanía que estaba en aptitud de votar. </w:t>
      </w:r>
    </w:p>
    <w:p w14:paraId="4A6E1E48" w14:textId="77777777" w:rsidR="00675FAF" w:rsidRPr="00500D98" w:rsidRDefault="00675FAF" w:rsidP="00500D98">
      <w:pPr>
        <w:pStyle w:val="Sinespaciado"/>
      </w:pPr>
    </w:p>
    <w:p w14:paraId="5FE24497" w14:textId="13B94BC2" w:rsidR="00BF7BFF" w:rsidRDefault="00675FAF" w:rsidP="00675FAF">
      <w:pPr>
        <w:pStyle w:val="Sinespaciado"/>
        <w:spacing w:line="360" w:lineRule="auto"/>
        <w:jc w:val="both"/>
        <w:rPr>
          <w:rFonts w:ascii="Arial" w:hAnsi="Arial" w:cs="Arial"/>
          <w:sz w:val="24"/>
          <w:szCs w:val="24"/>
          <w:lang w:eastAsia="es-MX"/>
        </w:rPr>
      </w:pPr>
      <w:r w:rsidRPr="00675FAF">
        <w:rPr>
          <w:rFonts w:ascii="Arial" w:hAnsi="Arial" w:cs="Arial"/>
          <w:sz w:val="24"/>
          <w:szCs w:val="24"/>
          <w:lang w:eastAsia="es-MX"/>
        </w:rPr>
        <w:t>Asimismo, sostuvo que ante la falta de datos objetivos que permitieran establecer el porcentaje de representación de las personas de la comunidad LGBTIQ+, era necesario equiparar el porcentaje fijado para el primer grupo.</w:t>
      </w:r>
    </w:p>
    <w:p w14:paraId="3C5D856F" w14:textId="77777777" w:rsidR="00257B1C" w:rsidRPr="00500D98" w:rsidRDefault="00257B1C" w:rsidP="00500D98">
      <w:pPr>
        <w:pStyle w:val="Sinespaciado"/>
      </w:pPr>
    </w:p>
    <w:p w14:paraId="5E3B77CE" w14:textId="421DF3A4" w:rsidR="00675FAF" w:rsidRPr="00675FAF" w:rsidRDefault="002F2EED" w:rsidP="00675FAF">
      <w:pPr>
        <w:pStyle w:val="Sinespaciado"/>
        <w:spacing w:line="360" w:lineRule="auto"/>
        <w:jc w:val="both"/>
        <w:rPr>
          <w:rFonts w:ascii="Arial" w:hAnsi="Arial" w:cs="Arial"/>
          <w:sz w:val="24"/>
          <w:szCs w:val="24"/>
          <w:lang w:eastAsia="es-MX"/>
        </w:rPr>
      </w:pPr>
      <w:r w:rsidRPr="00AF4891">
        <w:rPr>
          <w:rFonts w:ascii="Arial" w:hAnsi="Arial" w:cs="Arial"/>
          <w:sz w:val="24"/>
          <w:szCs w:val="24"/>
          <w:lang w:eastAsia="es-MX"/>
        </w:rPr>
        <w:t>Al respecto</w:t>
      </w:r>
      <w:r w:rsidR="00675FAF" w:rsidRPr="00AF4891">
        <w:rPr>
          <w:rFonts w:ascii="Arial" w:hAnsi="Arial" w:cs="Arial"/>
          <w:sz w:val="24"/>
          <w:szCs w:val="24"/>
          <w:lang w:eastAsia="es-MX"/>
        </w:rPr>
        <w:t>, este Tribunal considera que</w:t>
      </w:r>
      <w:r w:rsidRPr="00AF4891">
        <w:rPr>
          <w:rFonts w:ascii="Arial" w:hAnsi="Arial" w:cs="Arial"/>
          <w:sz w:val="24"/>
          <w:szCs w:val="24"/>
          <w:lang w:eastAsia="es-MX"/>
        </w:rPr>
        <w:t xml:space="preserve"> el hecho de que la responsable los incluyera en una cuota mixta no le causa perjuicio a la y el promovente</w:t>
      </w:r>
      <w:r w:rsidR="00675FAF" w:rsidRPr="00AF4891">
        <w:rPr>
          <w:rFonts w:ascii="Arial" w:hAnsi="Arial" w:cs="Arial"/>
          <w:sz w:val="24"/>
          <w:szCs w:val="24"/>
          <w:lang w:eastAsia="es-MX"/>
        </w:rPr>
        <w:t xml:space="preserve">, </w:t>
      </w:r>
      <w:r w:rsidR="00383605" w:rsidRPr="00AF4891">
        <w:rPr>
          <w:rFonts w:ascii="Arial" w:hAnsi="Arial" w:cs="Arial"/>
          <w:sz w:val="24"/>
          <w:szCs w:val="24"/>
          <w:lang w:eastAsia="es-MX"/>
        </w:rPr>
        <w:t xml:space="preserve">pues haber </w:t>
      </w:r>
      <w:r w:rsidR="00675FAF" w:rsidRPr="00AF4891">
        <w:rPr>
          <w:rFonts w:ascii="Arial" w:hAnsi="Arial" w:cs="Arial"/>
          <w:sz w:val="24"/>
          <w:szCs w:val="24"/>
          <w:lang w:eastAsia="es-MX"/>
        </w:rPr>
        <w:t>duplica</w:t>
      </w:r>
      <w:r w:rsidR="00383605" w:rsidRPr="00AF4891">
        <w:rPr>
          <w:rFonts w:ascii="Arial" w:hAnsi="Arial" w:cs="Arial"/>
          <w:sz w:val="24"/>
          <w:szCs w:val="24"/>
          <w:lang w:eastAsia="es-MX"/>
        </w:rPr>
        <w:t>do</w:t>
      </w:r>
      <w:r w:rsidR="00675FAF" w:rsidRPr="00AF4891">
        <w:rPr>
          <w:rFonts w:ascii="Arial" w:hAnsi="Arial" w:cs="Arial"/>
          <w:sz w:val="24"/>
          <w:szCs w:val="24"/>
          <w:lang w:eastAsia="es-MX"/>
        </w:rPr>
        <w:t xml:space="preserve"> el porcentaje establecido (6.8%) para fijar la cuota a favor de las personas de la comunidad LGBTIQ+</w:t>
      </w:r>
      <w:r w:rsidR="00383605" w:rsidRPr="00AF4891">
        <w:rPr>
          <w:rFonts w:ascii="Arial" w:hAnsi="Arial" w:cs="Arial"/>
          <w:sz w:val="24"/>
          <w:szCs w:val="24"/>
          <w:lang w:eastAsia="es-MX"/>
        </w:rPr>
        <w:t xml:space="preserve"> - como lo solicitaban los promoventes </w:t>
      </w:r>
      <w:r w:rsidR="00EA0590">
        <w:rPr>
          <w:rFonts w:ascii="Arial" w:hAnsi="Arial" w:cs="Arial"/>
          <w:sz w:val="24"/>
          <w:szCs w:val="24"/>
          <w:lang w:eastAsia="es-MX"/>
        </w:rPr>
        <w:t>–</w:t>
      </w:r>
      <w:r w:rsidR="00AF4891" w:rsidRPr="00AF4891">
        <w:rPr>
          <w:rFonts w:ascii="Arial" w:hAnsi="Arial" w:cs="Arial"/>
          <w:sz w:val="24"/>
          <w:szCs w:val="24"/>
          <w:lang w:eastAsia="es-MX"/>
        </w:rPr>
        <w:t xml:space="preserve"> </w:t>
      </w:r>
      <w:r w:rsidR="00EA0590">
        <w:rPr>
          <w:rFonts w:ascii="Arial" w:hAnsi="Arial" w:cs="Arial"/>
          <w:sz w:val="24"/>
          <w:szCs w:val="24"/>
          <w:lang w:eastAsia="es-MX"/>
        </w:rPr>
        <w:t xml:space="preserve">no </w:t>
      </w:r>
      <w:r w:rsidR="00675FAF" w:rsidRPr="00AF4891">
        <w:rPr>
          <w:rFonts w:ascii="Arial" w:hAnsi="Arial" w:cs="Arial"/>
          <w:sz w:val="24"/>
          <w:szCs w:val="24"/>
          <w:lang w:eastAsia="es-MX"/>
        </w:rPr>
        <w:t xml:space="preserve">reflejaría una proporcionalidad real y razonable en cuanto al porcentaje de personas de dicho grupo, </w:t>
      </w:r>
      <w:r w:rsidR="00383605" w:rsidRPr="00AF4891">
        <w:rPr>
          <w:rFonts w:ascii="Arial" w:hAnsi="Arial" w:cs="Arial"/>
          <w:sz w:val="24"/>
          <w:szCs w:val="24"/>
          <w:lang w:eastAsia="es-MX"/>
        </w:rPr>
        <w:t>ante la</w:t>
      </w:r>
      <w:r w:rsidR="00675FAF" w:rsidRPr="00AF4891">
        <w:rPr>
          <w:rFonts w:ascii="Arial" w:hAnsi="Arial" w:cs="Arial"/>
          <w:sz w:val="24"/>
          <w:szCs w:val="24"/>
          <w:lang w:eastAsia="es-MX"/>
        </w:rPr>
        <w:t xml:space="preserve"> ausencia de datos que reflejen este resultado.</w:t>
      </w:r>
    </w:p>
    <w:p w14:paraId="2A6FFD6B" w14:textId="77777777" w:rsidR="00675FAF" w:rsidRPr="00125B30" w:rsidRDefault="00675FAF" w:rsidP="00125B30">
      <w:pPr>
        <w:pStyle w:val="Sinespaciado"/>
      </w:pPr>
    </w:p>
    <w:p w14:paraId="2559B4B6" w14:textId="13510932" w:rsidR="00675FAF" w:rsidRPr="00675FAF" w:rsidRDefault="00675FAF" w:rsidP="00675FAF">
      <w:pPr>
        <w:pStyle w:val="Sinespaciado"/>
        <w:spacing w:line="360" w:lineRule="auto"/>
        <w:jc w:val="both"/>
        <w:rPr>
          <w:rFonts w:ascii="Arial" w:hAnsi="Arial" w:cs="Arial"/>
          <w:sz w:val="24"/>
          <w:szCs w:val="24"/>
          <w:lang w:eastAsia="es-MX"/>
        </w:rPr>
      </w:pPr>
      <w:r w:rsidRPr="00675FAF">
        <w:rPr>
          <w:rFonts w:ascii="Arial" w:hAnsi="Arial" w:cs="Arial"/>
          <w:sz w:val="24"/>
          <w:szCs w:val="24"/>
          <w:lang w:eastAsia="es-MX"/>
        </w:rPr>
        <w:t>Es decir, que ante la insuficiencia de elementos idóneos que permitieran a la autoridad administrativa realizar un cálculo relativamente proporcional</w:t>
      </w:r>
      <w:r w:rsidR="00EA0590">
        <w:rPr>
          <w:rFonts w:ascii="Arial" w:hAnsi="Arial" w:cs="Arial"/>
          <w:sz w:val="24"/>
          <w:szCs w:val="24"/>
          <w:lang w:eastAsia="es-MX"/>
        </w:rPr>
        <w:t xml:space="preserve"> en cuanto a las personas de la </w:t>
      </w:r>
      <w:r w:rsidR="00EA0590" w:rsidRPr="00AF4891">
        <w:rPr>
          <w:rFonts w:ascii="Arial" w:hAnsi="Arial" w:cs="Arial"/>
          <w:sz w:val="24"/>
          <w:szCs w:val="24"/>
          <w:lang w:eastAsia="es-MX"/>
        </w:rPr>
        <w:t>comunidad LGBTIQ+</w:t>
      </w:r>
      <w:r w:rsidRPr="00675FAF">
        <w:rPr>
          <w:rFonts w:ascii="Arial" w:hAnsi="Arial" w:cs="Arial"/>
          <w:sz w:val="24"/>
          <w:szCs w:val="24"/>
          <w:lang w:eastAsia="es-MX"/>
        </w:rPr>
        <w:t xml:space="preserve">, no era posible establecer un piso idéntico al de las personas con discapacidad. Por ello, no era </w:t>
      </w:r>
      <w:r w:rsidR="002F2EED">
        <w:rPr>
          <w:rFonts w:ascii="Arial" w:hAnsi="Arial" w:cs="Arial"/>
          <w:sz w:val="24"/>
          <w:szCs w:val="24"/>
          <w:lang w:eastAsia="es-MX"/>
        </w:rPr>
        <w:t>factible</w:t>
      </w:r>
      <w:r w:rsidRPr="00675FAF">
        <w:rPr>
          <w:rFonts w:ascii="Arial" w:hAnsi="Arial" w:cs="Arial"/>
          <w:sz w:val="24"/>
          <w:szCs w:val="24"/>
          <w:lang w:eastAsia="es-MX"/>
        </w:rPr>
        <w:t xml:space="preserve"> otorgarle un número específico de cuotas a dicho grupo. </w:t>
      </w:r>
    </w:p>
    <w:p w14:paraId="7D765E7D" w14:textId="77777777" w:rsidR="00675FAF" w:rsidRPr="00675FAF" w:rsidRDefault="00675FAF" w:rsidP="00125B30">
      <w:pPr>
        <w:pStyle w:val="Sinespaciado"/>
        <w:rPr>
          <w:lang w:eastAsia="es-MX"/>
        </w:rPr>
      </w:pPr>
    </w:p>
    <w:p w14:paraId="4113E057" w14:textId="77777777" w:rsidR="00675FAF" w:rsidRPr="00675FAF" w:rsidRDefault="00675FAF" w:rsidP="00675FAF">
      <w:pPr>
        <w:pStyle w:val="Sinespaciado"/>
        <w:spacing w:line="360" w:lineRule="auto"/>
        <w:jc w:val="both"/>
        <w:rPr>
          <w:rFonts w:ascii="Arial" w:hAnsi="Arial" w:cs="Arial"/>
          <w:sz w:val="24"/>
          <w:szCs w:val="24"/>
          <w:lang w:eastAsia="es-MX"/>
        </w:rPr>
      </w:pPr>
      <w:r w:rsidRPr="00675FAF">
        <w:rPr>
          <w:rFonts w:ascii="Arial" w:hAnsi="Arial" w:cs="Arial"/>
          <w:sz w:val="24"/>
          <w:szCs w:val="24"/>
          <w:lang w:eastAsia="es-MX"/>
        </w:rPr>
        <w:t>Esto debe ser así, porque la Sala Monterrey en el asunto SM-JDC-59/2021 estableció que el Instituto, en el ámbito de su libertad discrecional y como encargada de organizar los comicios, le correspondía establecer la definición, alcance, modalidad, implementación y formalidades de la cuota con base en el contexto poblacional, multipartidista, ideológico y geopolítico en la entidad.</w:t>
      </w:r>
    </w:p>
    <w:p w14:paraId="3292380E" w14:textId="77777777" w:rsidR="00675FAF" w:rsidRPr="00125B30" w:rsidRDefault="00675FAF" w:rsidP="00125B30">
      <w:pPr>
        <w:pStyle w:val="Sinespaciado"/>
      </w:pPr>
    </w:p>
    <w:p w14:paraId="2E7D51BF" w14:textId="77777777" w:rsidR="00675FAF" w:rsidRPr="00675FAF" w:rsidRDefault="00675FAF" w:rsidP="00675FAF">
      <w:pPr>
        <w:pStyle w:val="Sinespaciado"/>
        <w:spacing w:line="360" w:lineRule="auto"/>
        <w:jc w:val="both"/>
        <w:rPr>
          <w:rFonts w:ascii="Arial" w:hAnsi="Arial" w:cs="Arial"/>
          <w:sz w:val="24"/>
          <w:szCs w:val="24"/>
          <w:lang w:eastAsia="es-MX"/>
        </w:rPr>
      </w:pPr>
      <w:r w:rsidRPr="00675FAF">
        <w:rPr>
          <w:rFonts w:ascii="Arial" w:hAnsi="Arial" w:cs="Arial"/>
          <w:sz w:val="24"/>
          <w:szCs w:val="24"/>
          <w:lang w:eastAsia="es-MX"/>
        </w:rPr>
        <w:lastRenderedPageBreak/>
        <w:t xml:space="preserve">Sin embargo, ante la imposibilidad de obtener datos o elementos ciertos y, a su vez, considerar tales parámetros, la responsable no tenía la obligación de establecer una cuota igual a la de un grupo distinto para garantizar la representación efectiva a la que hace referencia el indicado precedente. </w:t>
      </w:r>
    </w:p>
    <w:p w14:paraId="18B5CC01" w14:textId="77777777" w:rsidR="00675FAF" w:rsidRPr="00125B30" w:rsidRDefault="00675FAF" w:rsidP="00125B30">
      <w:pPr>
        <w:pStyle w:val="Sinespaciado"/>
      </w:pPr>
    </w:p>
    <w:p w14:paraId="2AA05CAF" w14:textId="23431B1E" w:rsidR="00675FAF" w:rsidRDefault="00675FAF" w:rsidP="00675FAF">
      <w:pPr>
        <w:pStyle w:val="Sinespaciado"/>
        <w:spacing w:line="360" w:lineRule="auto"/>
        <w:jc w:val="both"/>
        <w:rPr>
          <w:rFonts w:ascii="Arial" w:hAnsi="Arial" w:cs="Arial"/>
          <w:sz w:val="24"/>
          <w:szCs w:val="24"/>
          <w:lang w:eastAsia="es-MX"/>
        </w:rPr>
      </w:pPr>
      <w:r w:rsidRPr="00675FAF">
        <w:rPr>
          <w:rFonts w:ascii="Arial" w:hAnsi="Arial" w:cs="Arial"/>
          <w:sz w:val="24"/>
          <w:szCs w:val="24"/>
          <w:lang w:eastAsia="es-MX"/>
        </w:rPr>
        <w:t>En consecuencia, el hecho de que la responsable advirtiera la imposibilidad de conocer la presencia de la comunidad LGBTIQ+ en la entidad, no tenía el deber establecer y respetar una cuota individual a su favor, sino que fue correcto que se estableciera un primer parámetro para ambos grupos con el propósito que paulatinamente se identifique su verdadera presencia en el Estado.</w:t>
      </w:r>
    </w:p>
    <w:p w14:paraId="60741AB3" w14:textId="77777777" w:rsidR="002F2EED" w:rsidRPr="00675FAF" w:rsidRDefault="002F2EED" w:rsidP="00675FAF">
      <w:pPr>
        <w:pStyle w:val="Sinespaciado"/>
        <w:spacing w:line="360" w:lineRule="auto"/>
        <w:jc w:val="both"/>
        <w:rPr>
          <w:rFonts w:ascii="Arial" w:hAnsi="Arial" w:cs="Arial"/>
          <w:sz w:val="24"/>
          <w:szCs w:val="24"/>
          <w:lang w:eastAsia="es-MX"/>
        </w:rPr>
      </w:pPr>
    </w:p>
    <w:p w14:paraId="651063C3" w14:textId="77777777" w:rsidR="00675FAF" w:rsidRPr="00675FAF" w:rsidRDefault="00675FAF" w:rsidP="00675FAF">
      <w:pPr>
        <w:pStyle w:val="Sinespaciado"/>
        <w:spacing w:line="360" w:lineRule="auto"/>
        <w:jc w:val="both"/>
        <w:rPr>
          <w:rFonts w:ascii="Arial" w:hAnsi="Arial" w:cs="Arial"/>
          <w:sz w:val="24"/>
          <w:szCs w:val="24"/>
          <w:lang w:eastAsia="es-MX"/>
        </w:rPr>
      </w:pPr>
      <w:r w:rsidRPr="00675FAF">
        <w:rPr>
          <w:rFonts w:ascii="Arial" w:hAnsi="Arial" w:cs="Arial"/>
          <w:sz w:val="24"/>
          <w:szCs w:val="24"/>
          <w:lang w:eastAsia="es-MX"/>
        </w:rPr>
        <w:t xml:space="preserve">Lo anterior, tomando como base la normativa constitucional y convencional que existe a favor de estos grupos y que tiene como propósito eliminar las condiciones de vulnerabilidad en las cuales históricamente han vivido estas minorías para logar derechos en situación de igualdad en relación a su participación en la vida política del país. </w:t>
      </w:r>
    </w:p>
    <w:p w14:paraId="40D026E7" w14:textId="77777777" w:rsidR="00675FAF" w:rsidRPr="00125B30" w:rsidRDefault="00675FAF" w:rsidP="00125B30">
      <w:pPr>
        <w:pStyle w:val="Sinespaciado"/>
      </w:pPr>
    </w:p>
    <w:p w14:paraId="0C713773" w14:textId="77DEFB30" w:rsidR="00675FAF" w:rsidRPr="00675FAF" w:rsidRDefault="00675FAF" w:rsidP="00675FAF">
      <w:pPr>
        <w:pStyle w:val="Sinespaciado"/>
        <w:spacing w:line="360" w:lineRule="auto"/>
        <w:jc w:val="both"/>
        <w:rPr>
          <w:rFonts w:ascii="Arial" w:hAnsi="Arial" w:cs="Arial"/>
          <w:sz w:val="24"/>
          <w:szCs w:val="24"/>
          <w:lang w:eastAsia="es-MX"/>
        </w:rPr>
      </w:pPr>
      <w:r w:rsidRPr="00675FAF">
        <w:rPr>
          <w:rFonts w:ascii="Arial" w:hAnsi="Arial" w:cs="Arial"/>
          <w:sz w:val="24"/>
          <w:szCs w:val="24"/>
          <w:lang w:eastAsia="es-MX"/>
        </w:rPr>
        <w:t xml:space="preserve">Por lo expuesto, este órgano jurisdiccional considera que, dada la proximidad del registro de candidaturas, resulta necesario respetar las acciones afirmativas cuestionadas </w:t>
      </w:r>
      <w:r w:rsidR="002F2EED">
        <w:rPr>
          <w:rFonts w:ascii="Arial" w:hAnsi="Arial" w:cs="Arial"/>
          <w:sz w:val="24"/>
          <w:szCs w:val="24"/>
          <w:lang w:eastAsia="es-MX"/>
        </w:rPr>
        <w:t>y emitidas por la</w:t>
      </w:r>
      <w:r w:rsidRPr="00675FAF">
        <w:rPr>
          <w:rFonts w:ascii="Arial" w:hAnsi="Arial" w:cs="Arial"/>
          <w:sz w:val="24"/>
          <w:szCs w:val="24"/>
          <w:lang w:eastAsia="es-MX"/>
        </w:rPr>
        <w:t xml:space="preserve"> autoridad responsable a fin de generar certeza sobre las reglas que deberá respetar los partidos y coaliciones en la postulación de sus candidaturas. </w:t>
      </w:r>
    </w:p>
    <w:p w14:paraId="6E68EDD9" w14:textId="77777777" w:rsidR="00675FAF" w:rsidRPr="00125B30" w:rsidRDefault="00675FAF" w:rsidP="00125B30">
      <w:pPr>
        <w:pStyle w:val="Sinespaciado"/>
      </w:pPr>
    </w:p>
    <w:p w14:paraId="4C894E42" w14:textId="72F555C7" w:rsidR="00BF7BFF" w:rsidRDefault="00675FAF" w:rsidP="00675FAF">
      <w:pPr>
        <w:pStyle w:val="Sinespaciado"/>
        <w:spacing w:line="360" w:lineRule="auto"/>
        <w:jc w:val="both"/>
        <w:rPr>
          <w:rFonts w:ascii="Arial" w:hAnsi="Arial" w:cs="Arial"/>
          <w:sz w:val="24"/>
          <w:szCs w:val="24"/>
          <w:lang w:eastAsia="es-MX"/>
        </w:rPr>
      </w:pPr>
      <w:r w:rsidRPr="00675FAF">
        <w:rPr>
          <w:rFonts w:ascii="Arial" w:hAnsi="Arial" w:cs="Arial"/>
          <w:sz w:val="24"/>
          <w:szCs w:val="24"/>
          <w:lang w:eastAsia="es-MX"/>
        </w:rPr>
        <w:t>El referido criterio tiene como propósito generar un equilibrio entre distintos principios que coexisten en el sistema electoral, tales como la certeza, objetividad y la autorregulación de los partidos políticos, por tanto, no resulta viable cambiar las reglas implementadas por el Instituto local, ya que estas las estableció en el ejercicio de su faculta discrecional y el ejercicio de atribuciones como ente encargado de organizar las elecciones y, a su vez, prever mecanismos viables e idóneos que puedan cumplir</w:t>
      </w:r>
      <w:r w:rsidR="002F2EED">
        <w:rPr>
          <w:rFonts w:ascii="Arial" w:hAnsi="Arial" w:cs="Arial"/>
          <w:sz w:val="24"/>
          <w:szCs w:val="24"/>
          <w:lang w:eastAsia="es-MX"/>
        </w:rPr>
        <w:t>se</w:t>
      </w:r>
      <w:r w:rsidRPr="00675FAF">
        <w:rPr>
          <w:rFonts w:ascii="Arial" w:hAnsi="Arial" w:cs="Arial"/>
          <w:sz w:val="24"/>
          <w:szCs w:val="24"/>
          <w:lang w:eastAsia="es-MX"/>
        </w:rPr>
        <w:t xml:space="preserve"> durante el curso del proceso electoral.</w:t>
      </w:r>
    </w:p>
    <w:p w14:paraId="07775CAA" w14:textId="77777777" w:rsidR="0006134E" w:rsidRPr="00125B30" w:rsidRDefault="0006134E" w:rsidP="00125B30">
      <w:pPr>
        <w:pStyle w:val="Sinespaciado"/>
      </w:pPr>
    </w:p>
    <w:p w14:paraId="42F79C73" w14:textId="12B24311" w:rsidR="0006134E" w:rsidRDefault="00F8012F" w:rsidP="00371850">
      <w:pPr>
        <w:spacing w:line="360" w:lineRule="auto"/>
        <w:jc w:val="both"/>
        <w:rPr>
          <w:rFonts w:ascii="Arial" w:hAnsi="Arial" w:cs="Arial"/>
          <w:b/>
          <w:bCs/>
          <w:sz w:val="24"/>
          <w:szCs w:val="24"/>
          <w:u w:val="single"/>
          <w:lang w:eastAsia="es-MX"/>
        </w:rPr>
      </w:pPr>
      <w:r w:rsidRPr="002F2EED">
        <w:rPr>
          <w:rFonts w:ascii="Arial" w:hAnsi="Arial" w:cs="Arial"/>
          <w:b/>
          <w:bCs/>
          <w:sz w:val="24"/>
          <w:szCs w:val="24"/>
          <w:u w:val="single"/>
          <w:lang w:eastAsia="es-MX"/>
        </w:rPr>
        <w:t>Tema 3. Oportunidad para implementar mayores mecanismos</w:t>
      </w:r>
      <w:r w:rsidR="00527B8C" w:rsidRPr="002F2EED">
        <w:rPr>
          <w:rFonts w:ascii="Arial" w:hAnsi="Arial" w:cs="Arial"/>
          <w:b/>
          <w:bCs/>
          <w:sz w:val="24"/>
          <w:szCs w:val="24"/>
          <w:u w:val="single"/>
          <w:lang w:eastAsia="es-MX"/>
        </w:rPr>
        <w:t xml:space="preserve"> que garanticen al acceso a todos los cargos de representación</w:t>
      </w:r>
      <w:r w:rsidR="00527B8C">
        <w:rPr>
          <w:rFonts w:ascii="Arial" w:hAnsi="Arial" w:cs="Arial"/>
          <w:b/>
          <w:bCs/>
          <w:sz w:val="24"/>
          <w:szCs w:val="24"/>
          <w:u w:val="single"/>
          <w:lang w:eastAsia="es-MX"/>
        </w:rPr>
        <w:t xml:space="preserve"> </w:t>
      </w:r>
    </w:p>
    <w:p w14:paraId="2F179A0B" w14:textId="377D5391" w:rsidR="00675FAF" w:rsidRDefault="00675FAF" w:rsidP="00125B30">
      <w:pPr>
        <w:pStyle w:val="Sinespaciado"/>
        <w:rPr>
          <w:lang w:eastAsia="es-MX"/>
        </w:rPr>
      </w:pPr>
    </w:p>
    <w:p w14:paraId="19E8D012" w14:textId="77777777" w:rsidR="00675FAF" w:rsidRDefault="00675FAF" w:rsidP="00675FAF">
      <w:pPr>
        <w:spacing w:line="360" w:lineRule="auto"/>
        <w:jc w:val="both"/>
        <w:rPr>
          <w:rFonts w:ascii="Arial" w:hAnsi="Arial" w:cs="Arial"/>
          <w:sz w:val="24"/>
          <w:szCs w:val="24"/>
          <w:lang w:eastAsia="es-MX"/>
        </w:rPr>
      </w:pPr>
      <w:r>
        <w:rPr>
          <w:rFonts w:ascii="Arial" w:hAnsi="Arial" w:cs="Arial"/>
          <w:sz w:val="24"/>
          <w:szCs w:val="24"/>
          <w:lang w:eastAsia="es-MX"/>
        </w:rPr>
        <w:t xml:space="preserve">La parte actora señala que la determinación de la autoridad administrativa de permitir que los partidos políticos elijan el municipio en el que postularán la cuota y la </w:t>
      </w:r>
      <w:r w:rsidRPr="00795B97">
        <w:rPr>
          <w:rFonts w:ascii="Arial" w:hAnsi="Arial" w:cs="Arial"/>
          <w:sz w:val="24"/>
          <w:szCs w:val="24"/>
          <w:lang w:eastAsia="es-MX"/>
        </w:rPr>
        <w:t>omis</w:t>
      </w:r>
      <w:r>
        <w:rPr>
          <w:rFonts w:ascii="Arial" w:hAnsi="Arial" w:cs="Arial"/>
          <w:sz w:val="24"/>
          <w:szCs w:val="24"/>
          <w:lang w:eastAsia="es-MX"/>
        </w:rPr>
        <w:t>ión</w:t>
      </w:r>
      <w:r w:rsidRPr="00795B97">
        <w:rPr>
          <w:rFonts w:ascii="Arial" w:hAnsi="Arial" w:cs="Arial"/>
          <w:sz w:val="24"/>
          <w:szCs w:val="24"/>
          <w:lang w:eastAsia="es-MX"/>
        </w:rPr>
        <w:t xml:space="preserve"> en implementar mecanismos que prohibieran a </w:t>
      </w:r>
      <w:r>
        <w:rPr>
          <w:rFonts w:ascii="Arial" w:hAnsi="Arial" w:cs="Arial"/>
          <w:sz w:val="24"/>
          <w:szCs w:val="24"/>
          <w:lang w:eastAsia="es-MX"/>
        </w:rPr>
        <w:t>tales entes</w:t>
      </w:r>
      <w:r w:rsidRPr="00795B97">
        <w:rPr>
          <w:rFonts w:ascii="Arial" w:hAnsi="Arial" w:cs="Arial"/>
          <w:sz w:val="24"/>
          <w:szCs w:val="24"/>
          <w:lang w:eastAsia="es-MX"/>
        </w:rPr>
        <w:t xml:space="preserve"> postular a las personas en los distritos y municipios con menor rentabilidad electoral, materialmente limita y obstruye el derecho a ser postulados para tales candidaturas y, a su vez, el acceso a cargos públicos.</w:t>
      </w:r>
      <w:r>
        <w:rPr>
          <w:rFonts w:ascii="Arial" w:hAnsi="Arial" w:cs="Arial"/>
          <w:sz w:val="24"/>
          <w:szCs w:val="24"/>
          <w:lang w:eastAsia="es-MX"/>
        </w:rPr>
        <w:t xml:space="preserve"> </w:t>
      </w:r>
    </w:p>
    <w:p w14:paraId="138312DD" w14:textId="77777777" w:rsidR="00675FAF" w:rsidRDefault="00675FAF" w:rsidP="00125B30">
      <w:pPr>
        <w:pStyle w:val="Sinespaciado"/>
        <w:rPr>
          <w:lang w:eastAsia="es-MX"/>
        </w:rPr>
      </w:pPr>
    </w:p>
    <w:p w14:paraId="26777756" w14:textId="77777777" w:rsidR="00675FAF" w:rsidRDefault="00675FAF" w:rsidP="00675FAF">
      <w:pPr>
        <w:spacing w:line="360" w:lineRule="auto"/>
        <w:jc w:val="both"/>
        <w:rPr>
          <w:rFonts w:ascii="Arial" w:hAnsi="Arial" w:cs="Arial"/>
          <w:sz w:val="24"/>
          <w:szCs w:val="24"/>
          <w:lang w:eastAsia="es-MX"/>
        </w:rPr>
      </w:pPr>
      <w:r w:rsidRPr="0071369F">
        <w:rPr>
          <w:rFonts w:ascii="Arial" w:hAnsi="Arial" w:cs="Arial"/>
          <w:sz w:val="24"/>
          <w:szCs w:val="24"/>
          <w:lang w:eastAsia="es-MX"/>
        </w:rPr>
        <w:t xml:space="preserve">También, la promovente refiere que las medidas adoptadas por el Instituto local no son suficientes, </w:t>
      </w:r>
      <w:r w:rsidRPr="002F2EED">
        <w:rPr>
          <w:rFonts w:ascii="Arial" w:hAnsi="Arial" w:cs="Arial"/>
          <w:sz w:val="24"/>
          <w:szCs w:val="24"/>
          <w:lang w:eastAsia="es-MX"/>
        </w:rPr>
        <w:t xml:space="preserve">porque no garantizan el posible acceso a todos </w:t>
      </w:r>
      <w:proofErr w:type="spellStart"/>
      <w:r w:rsidRPr="002F2EED">
        <w:rPr>
          <w:rFonts w:ascii="Arial" w:hAnsi="Arial" w:cs="Arial"/>
          <w:sz w:val="24"/>
          <w:szCs w:val="24"/>
          <w:lang w:eastAsia="es-MX"/>
        </w:rPr>
        <w:t>lo</w:t>
      </w:r>
      <w:proofErr w:type="spellEnd"/>
      <w:r w:rsidRPr="002F2EED">
        <w:rPr>
          <w:rFonts w:ascii="Arial" w:hAnsi="Arial" w:cs="Arial"/>
          <w:sz w:val="24"/>
          <w:szCs w:val="24"/>
          <w:lang w:eastAsia="es-MX"/>
        </w:rPr>
        <w:t xml:space="preserve"> cargos de elección popular, como en el caso de los municipios,</w:t>
      </w:r>
      <w:r w:rsidRPr="0071369F">
        <w:rPr>
          <w:rFonts w:ascii="Arial" w:hAnsi="Arial" w:cs="Arial"/>
          <w:sz w:val="24"/>
          <w:szCs w:val="24"/>
          <w:lang w:eastAsia="es-MX"/>
        </w:rPr>
        <w:t xml:space="preserve"> sino que se deja al libre arbitrio de los partidos su posible participación.</w:t>
      </w:r>
      <w:r>
        <w:rPr>
          <w:rFonts w:ascii="Arial" w:hAnsi="Arial" w:cs="Arial"/>
          <w:sz w:val="24"/>
          <w:szCs w:val="24"/>
          <w:lang w:eastAsia="es-MX"/>
        </w:rPr>
        <w:t xml:space="preserve"> Asimismo, solicitan que las cuotas se apliquen tanto por MR como por RP. </w:t>
      </w:r>
    </w:p>
    <w:p w14:paraId="5029E9EB" w14:textId="77777777" w:rsidR="00675FAF" w:rsidRPr="002C3354" w:rsidRDefault="00675FAF" w:rsidP="00125B30">
      <w:pPr>
        <w:pStyle w:val="Sinespaciado"/>
        <w:rPr>
          <w:lang w:eastAsia="es-MX"/>
        </w:rPr>
      </w:pPr>
    </w:p>
    <w:p w14:paraId="72FFC7BE" w14:textId="77777777" w:rsidR="00675FAF" w:rsidRDefault="00675FAF" w:rsidP="00675FAF">
      <w:pPr>
        <w:spacing w:line="360" w:lineRule="auto"/>
        <w:jc w:val="both"/>
        <w:rPr>
          <w:rFonts w:ascii="Arial" w:hAnsi="Arial" w:cs="Arial"/>
          <w:sz w:val="24"/>
          <w:szCs w:val="24"/>
          <w:lang w:eastAsia="es-MX"/>
        </w:rPr>
      </w:pPr>
      <w:r>
        <w:rPr>
          <w:rFonts w:ascii="Arial" w:hAnsi="Arial" w:cs="Arial"/>
          <w:sz w:val="24"/>
          <w:szCs w:val="24"/>
          <w:lang w:eastAsia="es-MX"/>
        </w:rPr>
        <w:t>Al respecto, el Instituto local estableció lo siguiente:</w:t>
      </w:r>
    </w:p>
    <w:p w14:paraId="599EA907" w14:textId="77777777" w:rsidR="00675FAF" w:rsidRPr="00371850" w:rsidRDefault="00675FAF" w:rsidP="00675FAF">
      <w:pPr>
        <w:pStyle w:val="Sinespaciado"/>
      </w:pPr>
    </w:p>
    <w:p w14:paraId="36C745B0" w14:textId="77777777" w:rsidR="00675FAF" w:rsidRPr="00B907C5" w:rsidRDefault="00675FAF" w:rsidP="00675FAF">
      <w:pPr>
        <w:spacing w:line="360" w:lineRule="auto"/>
        <w:jc w:val="both"/>
        <w:rPr>
          <w:rFonts w:ascii="Arial" w:hAnsi="Arial" w:cs="Arial"/>
          <w:b/>
          <w:bCs/>
          <w:sz w:val="24"/>
          <w:szCs w:val="24"/>
          <w:lang w:eastAsia="es-MX"/>
        </w:rPr>
      </w:pPr>
      <w:r w:rsidRPr="00B907C5">
        <w:rPr>
          <w:rFonts w:ascii="Arial" w:hAnsi="Arial" w:cs="Arial"/>
          <w:b/>
          <w:bCs/>
          <w:sz w:val="24"/>
          <w:szCs w:val="24"/>
          <w:lang w:eastAsia="es-MX"/>
        </w:rPr>
        <w:t>Sobre la postulación de candidaturas de Ayuntamientos:</w:t>
      </w:r>
    </w:p>
    <w:p w14:paraId="15C94A1B" w14:textId="77777777" w:rsidR="00675FAF" w:rsidRDefault="00675FAF" w:rsidP="00675FAF">
      <w:pPr>
        <w:pStyle w:val="Sinespaciado"/>
        <w:rPr>
          <w:lang w:eastAsia="es-MX"/>
        </w:rPr>
      </w:pPr>
    </w:p>
    <w:p w14:paraId="662CA720" w14:textId="77777777" w:rsidR="00675FAF" w:rsidRPr="005D4B1E" w:rsidRDefault="00675FAF" w:rsidP="00675FAF">
      <w:pPr>
        <w:spacing w:line="360" w:lineRule="auto"/>
        <w:ind w:left="284"/>
        <w:jc w:val="both"/>
        <w:rPr>
          <w:rFonts w:ascii="Arial" w:hAnsi="Arial" w:cs="Arial"/>
          <w:sz w:val="24"/>
          <w:szCs w:val="24"/>
          <w:u w:val="single"/>
          <w:lang w:eastAsia="es-MX"/>
        </w:rPr>
      </w:pPr>
      <w:r w:rsidRPr="005D4B1E">
        <w:rPr>
          <w:rFonts w:ascii="Arial" w:hAnsi="Arial" w:cs="Arial"/>
          <w:sz w:val="24"/>
          <w:szCs w:val="24"/>
          <w:u w:val="single"/>
          <w:lang w:eastAsia="es-MX"/>
        </w:rPr>
        <w:t>Por el principio de MR:</w:t>
      </w:r>
    </w:p>
    <w:p w14:paraId="5A14751A" w14:textId="77777777" w:rsidR="00675FAF" w:rsidRDefault="00675FAF" w:rsidP="00675FAF">
      <w:pPr>
        <w:pStyle w:val="Prrafodelista"/>
        <w:numPr>
          <w:ilvl w:val="0"/>
          <w:numId w:val="21"/>
        </w:numPr>
        <w:spacing w:line="360" w:lineRule="auto"/>
        <w:ind w:left="709"/>
        <w:jc w:val="both"/>
        <w:rPr>
          <w:rFonts w:ascii="Arial" w:hAnsi="Arial" w:cs="Arial"/>
          <w:sz w:val="24"/>
          <w:szCs w:val="24"/>
          <w:lang w:eastAsia="es-MX"/>
        </w:rPr>
      </w:pPr>
      <w:r w:rsidRPr="005D4B1E">
        <w:rPr>
          <w:rFonts w:ascii="Arial" w:hAnsi="Arial" w:cs="Arial"/>
          <w:sz w:val="24"/>
          <w:szCs w:val="24"/>
          <w:lang w:eastAsia="es-MX"/>
        </w:rPr>
        <w:t>Que tanto los partidos políticos como la coalición total “Por Aguascalientes” deberían postular cuando menos dos fórmulas en cualquiera de los 66 cargos de los 11 Ayuntamientos</w:t>
      </w:r>
      <w:r>
        <w:rPr>
          <w:rFonts w:ascii="Arial" w:hAnsi="Arial" w:cs="Arial"/>
          <w:sz w:val="24"/>
          <w:szCs w:val="24"/>
          <w:lang w:eastAsia="es-MX"/>
        </w:rPr>
        <w:t>.</w:t>
      </w:r>
    </w:p>
    <w:p w14:paraId="5DDD57A9" w14:textId="77777777" w:rsidR="00675FAF" w:rsidRPr="002C3354" w:rsidRDefault="00675FAF" w:rsidP="00675FAF">
      <w:pPr>
        <w:pStyle w:val="Prrafodelista"/>
        <w:numPr>
          <w:ilvl w:val="0"/>
          <w:numId w:val="21"/>
        </w:numPr>
        <w:spacing w:line="360" w:lineRule="auto"/>
        <w:ind w:left="709"/>
        <w:jc w:val="both"/>
        <w:rPr>
          <w:rFonts w:ascii="Arial" w:hAnsi="Arial" w:cs="Arial"/>
          <w:sz w:val="24"/>
          <w:szCs w:val="24"/>
          <w:lang w:eastAsia="es-MX"/>
        </w:rPr>
      </w:pPr>
      <w:r>
        <w:rPr>
          <w:rFonts w:ascii="Arial" w:hAnsi="Arial" w:cs="Arial"/>
          <w:sz w:val="24"/>
          <w:szCs w:val="24"/>
          <w:lang w:eastAsia="es-MX"/>
        </w:rPr>
        <w:t>L</w:t>
      </w:r>
      <w:r w:rsidRPr="005D4B1E">
        <w:rPr>
          <w:rFonts w:ascii="Arial" w:hAnsi="Arial" w:cs="Arial"/>
          <w:sz w:val="24"/>
          <w:szCs w:val="24"/>
          <w:lang w:eastAsia="es-MX"/>
        </w:rPr>
        <w:t xml:space="preserve">a coalición </w:t>
      </w:r>
      <w:r>
        <w:rPr>
          <w:rFonts w:ascii="Arial" w:hAnsi="Arial" w:cs="Arial"/>
          <w:sz w:val="24"/>
          <w:szCs w:val="24"/>
          <w:lang w:eastAsia="es-MX"/>
        </w:rPr>
        <w:t xml:space="preserve">parcial </w:t>
      </w:r>
      <w:r w:rsidRPr="005D4B1E">
        <w:rPr>
          <w:rFonts w:ascii="Arial" w:hAnsi="Arial" w:cs="Arial"/>
          <w:sz w:val="24"/>
          <w:szCs w:val="24"/>
          <w:lang w:eastAsia="es-MX"/>
        </w:rPr>
        <w:t xml:space="preserve">“Juntos Haremos Historia en Aguascalientes” debería postular cuando menos una fórmula en cualquiera de los 39 cargos </w:t>
      </w:r>
      <w:r>
        <w:rPr>
          <w:rFonts w:ascii="Arial" w:hAnsi="Arial" w:cs="Arial"/>
          <w:sz w:val="24"/>
          <w:szCs w:val="24"/>
          <w:lang w:eastAsia="es-MX"/>
        </w:rPr>
        <w:t>de</w:t>
      </w:r>
      <w:r w:rsidRPr="005D4B1E">
        <w:rPr>
          <w:rFonts w:ascii="Arial" w:hAnsi="Arial" w:cs="Arial"/>
          <w:sz w:val="24"/>
          <w:szCs w:val="24"/>
          <w:lang w:eastAsia="es-MX"/>
        </w:rPr>
        <w:t xml:space="preserve"> los 6 Ayuntamientos por los que decidieron coaligarse y, a su vez, los partidos políticos que la integran deberían postular cuando menos una fórmula en cualquiera de los 27 cargos de los 5 Ayuntamientos en los que contenderán individualmente. </w:t>
      </w:r>
    </w:p>
    <w:p w14:paraId="0F78D9D8" w14:textId="77777777" w:rsidR="00675FAF" w:rsidRDefault="00675FAF" w:rsidP="00675FAF">
      <w:pPr>
        <w:spacing w:line="360" w:lineRule="auto"/>
        <w:ind w:left="284"/>
        <w:jc w:val="both"/>
        <w:rPr>
          <w:rFonts w:ascii="Arial" w:hAnsi="Arial" w:cs="Arial"/>
          <w:sz w:val="24"/>
          <w:szCs w:val="24"/>
          <w:u w:val="single"/>
          <w:lang w:eastAsia="es-MX"/>
        </w:rPr>
      </w:pPr>
      <w:r w:rsidRPr="005D4B1E">
        <w:rPr>
          <w:rFonts w:ascii="Arial" w:hAnsi="Arial" w:cs="Arial"/>
          <w:sz w:val="24"/>
          <w:szCs w:val="24"/>
          <w:u w:val="single"/>
          <w:lang w:eastAsia="es-MX"/>
        </w:rPr>
        <w:t>Por el principio de RP:</w:t>
      </w:r>
    </w:p>
    <w:p w14:paraId="2A49F914" w14:textId="77777777" w:rsidR="00675FAF" w:rsidRDefault="00675FAF" w:rsidP="00675FAF">
      <w:pPr>
        <w:pStyle w:val="Prrafodelista"/>
        <w:numPr>
          <w:ilvl w:val="0"/>
          <w:numId w:val="22"/>
        </w:numPr>
        <w:spacing w:line="360" w:lineRule="auto"/>
        <w:ind w:left="709"/>
        <w:jc w:val="both"/>
        <w:rPr>
          <w:rFonts w:ascii="Arial" w:hAnsi="Arial" w:cs="Arial"/>
          <w:sz w:val="24"/>
          <w:szCs w:val="24"/>
          <w:lang w:eastAsia="es-MX"/>
        </w:rPr>
      </w:pPr>
      <w:r w:rsidRPr="005D4B1E">
        <w:rPr>
          <w:rFonts w:ascii="Arial" w:hAnsi="Arial" w:cs="Arial"/>
          <w:sz w:val="24"/>
          <w:szCs w:val="24"/>
          <w:lang w:eastAsia="es-MX"/>
        </w:rPr>
        <w:t xml:space="preserve">Los partidos políticos deberán postular cuando menos una fórmula en cualquiera de los 43 cargos que componen los 11 Ayuntamientos de la entidad. </w:t>
      </w:r>
    </w:p>
    <w:p w14:paraId="72E54449" w14:textId="77777777" w:rsidR="00675FAF" w:rsidRDefault="00675FAF" w:rsidP="00675FAF">
      <w:pPr>
        <w:pStyle w:val="Sinespaciado"/>
        <w:rPr>
          <w:lang w:eastAsia="es-MX"/>
        </w:rPr>
      </w:pPr>
    </w:p>
    <w:p w14:paraId="6079A46C" w14:textId="77777777" w:rsidR="00675FAF" w:rsidRPr="00981FDC" w:rsidRDefault="00675FAF" w:rsidP="00675FAF">
      <w:pPr>
        <w:spacing w:line="360" w:lineRule="auto"/>
        <w:jc w:val="both"/>
        <w:rPr>
          <w:rFonts w:ascii="Arial" w:hAnsi="Arial" w:cs="Arial"/>
          <w:b/>
          <w:bCs/>
          <w:sz w:val="24"/>
          <w:szCs w:val="24"/>
          <w:lang w:eastAsia="es-MX"/>
        </w:rPr>
      </w:pPr>
      <w:r w:rsidRPr="00981FDC">
        <w:rPr>
          <w:rFonts w:ascii="Arial" w:hAnsi="Arial" w:cs="Arial"/>
          <w:b/>
          <w:bCs/>
          <w:sz w:val="24"/>
          <w:szCs w:val="24"/>
          <w:lang w:eastAsia="es-MX"/>
        </w:rPr>
        <w:t>Sobre la postulación de diputaciones:</w:t>
      </w:r>
    </w:p>
    <w:p w14:paraId="35A59F79" w14:textId="77777777" w:rsidR="00675FAF" w:rsidRDefault="00675FAF" w:rsidP="00675FAF">
      <w:pPr>
        <w:pStyle w:val="Sinespaciado"/>
        <w:rPr>
          <w:lang w:eastAsia="es-MX"/>
        </w:rPr>
      </w:pPr>
    </w:p>
    <w:p w14:paraId="2DE3AF70" w14:textId="77777777" w:rsidR="00675FAF" w:rsidRPr="00981FDC" w:rsidRDefault="00675FAF" w:rsidP="00675FAF">
      <w:pPr>
        <w:spacing w:line="360" w:lineRule="auto"/>
        <w:ind w:left="284"/>
        <w:jc w:val="both"/>
        <w:rPr>
          <w:rFonts w:ascii="Arial" w:hAnsi="Arial" w:cs="Arial"/>
          <w:sz w:val="24"/>
          <w:szCs w:val="24"/>
          <w:u w:val="single"/>
          <w:lang w:eastAsia="es-MX"/>
        </w:rPr>
      </w:pPr>
      <w:r w:rsidRPr="005D4B1E">
        <w:rPr>
          <w:rFonts w:ascii="Arial" w:hAnsi="Arial" w:cs="Arial"/>
          <w:sz w:val="24"/>
          <w:szCs w:val="24"/>
          <w:u w:val="single"/>
          <w:lang w:eastAsia="es-MX"/>
        </w:rPr>
        <w:t>Por el principio de MR:</w:t>
      </w:r>
    </w:p>
    <w:p w14:paraId="12CE244C" w14:textId="77777777" w:rsidR="00675FAF" w:rsidRPr="00981FDC" w:rsidRDefault="00675FAF" w:rsidP="00675FAF">
      <w:pPr>
        <w:pStyle w:val="Prrafodelista"/>
        <w:numPr>
          <w:ilvl w:val="0"/>
          <w:numId w:val="22"/>
        </w:numPr>
        <w:spacing w:line="360" w:lineRule="auto"/>
        <w:ind w:left="709"/>
        <w:jc w:val="both"/>
        <w:rPr>
          <w:rFonts w:ascii="Arial" w:hAnsi="Arial" w:cs="Arial"/>
          <w:sz w:val="24"/>
          <w:szCs w:val="24"/>
          <w:lang w:eastAsia="es-MX"/>
        </w:rPr>
      </w:pPr>
      <w:r w:rsidRPr="00981FDC">
        <w:rPr>
          <w:rFonts w:ascii="Arial" w:hAnsi="Arial" w:cs="Arial"/>
          <w:sz w:val="24"/>
          <w:szCs w:val="24"/>
          <w:lang w:eastAsia="es-MX"/>
        </w:rPr>
        <w:t>Los partidos políticos y la coalición total “Por Aguascalientes” deberán postular cuando menos una fórmula de candidaturas en cualquiera de los 18 distritos electorales uninominales.</w:t>
      </w:r>
    </w:p>
    <w:p w14:paraId="09532B77" w14:textId="77777777" w:rsidR="00675FAF" w:rsidRPr="002C3354" w:rsidRDefault="00675FAF" w:rsidP="00675FAF">
      <w:pPr>
        <w:pStyle w:val="Prrafodelista"/>
        <w:numPr>
          <w:ilvl w:val="0"/>
          <w:numId w:val="22"/>
        </w:numPr>
        <w:spacing w:line="360" w:lineRule="auto"/>
        <w:ind w:left="709"/>
        <w:jc w:val="both"/>
        <w:rPr>
          <w:rFonts w:ascii="Arial" w:hAnsi="Arial" w:cs="Arial"/>
          <w:sz w:val="24"/>
          <w:szCs w:val="24"/>
          <w:lang w:eastAsia="es-MX"/>
        </w:rPr>
      </w:pPr>
      <w:r w:rsidRPr="00981FDC">
        <w:rPr>
          <w:rFonts w:ascii="Arial" w:hAnsi="Arial" w:cs="Arial"/>
          <w:sz w:val="24"/>
          <w:szCs w:val="24"/>
          <w:lang w:eastAsia="es-MX"/>
        </w:rPr>
        <w:t xml:space="preserve">La coalición parcial “Juntos Haremos Historia en Aguascalientes” y, a su vez, los partidos que la integran, deberán postular cuando menos una fórmula de candidaturas en cualquiera de los 9 distritos uninominales por los que decidieron coaligarse y en los que decidieron contender de manera individual, respectivamente.   </w:t>
      </w:r>
    </w:p>
    <w:p w14:paraId="56B71C04" w14:textId="77777777" w:rsidR="00675FAF" w:rsidRDefault="00675FAF" w:rsidP="00675FAF">
      <w:pPr>
        <w:spacing w:line="360" w:lineRule="auto"/>
        <w:ind w:left="284"/>
        <w:jc w:val="both"/>
        <w:rPr>
          <w:rFonts w:ascii="Arial" w:hAnsi="Arial" w:cs="Arial"/>
          <w:sz w:val="24"/>
          <w:szCs w:val="24"/>
          <w:u w:val="single"/>
          <w:lang w:eastAsia="es-MX"/>
        </w:rPr>
      </w:pPr>
      <w:r>
        <w:rPr>
          <w:rFonts w:ascii="Arial" w:hAnsi="Arial" w:cs="Arial"/>
          <w:sz w:val="24"/>
          <w:szCs w:val="24"/>
          <w:u w:val="single"/>
          <w:lang w:eastAsia="es-MX"/>
        </w:rPr>
        <w:t>Por el principio de RP:</w:t>
      </w:r>
    </w:p>
    <w:p w14:paraId="5DFBA4A9" w14:textId="0C687B5A" w:rsidR="00675FAF" w:rsidRPr="00675FAF" w:rsidRDefault="00675FAF" w:rsidP="005D4B1E">
      <w:pPr>
        <w:pStyle w:val="Prrafodelista"/>
        <w:numPr>
          <w:ilvl w:val="0"/>
          <w:numId w:val="23"/>
        </w:numPr>
        <w:spacing w:line="360" w:lineRule="auto"/>
        <w:ind w:left="709"/>
        <w:jc w:val="both"/>
        <w:rPr>
          <w:rFonts w:ascii="Arial" w:hAnsi="Arial" w:cs="Arial"/>
          <w:sz w:val="24"/>
          <w:szCs w:val="24"/>
          <w:lang w:eastAsia="es-MX"/>
        </w:rPr>
      </w:pPr>
      <w:r w:rsidRPr="00981FDC">
        <w:rPr>
          <w:rFonts w:ascii="Arial" w:hAnsi="Arial" w:cs="Arial"/>
          <w:sz w:val="24"/>
          <w:szCs w:val="24"/>
          <w:lang w:eastAsia="es-MX"/>
        </w:rPr>
        <w:t>Los partidos políticos deberán postular cuando menos una fórmula en cualquiera de las 6 posiciones que componen la lista.</w:t>
      </w:r>
    </w:p>
    <w:p w14:paraId="539BEDB0" w14:textId="1FFA5088" w:rsidR="00557518" w:rsidRPr="0072341A" w:rsidRDefault="00557518" w:rsidP="0072341A">
      <w:pPr>
        <w:pStyle w:val="Sinespaciado"/>
      </w:pPr>
    </w:p>
    <w:p w14:paraId="5703B35C" w14:textId="5EC37808" w:rsidR="00675FAF" w:rsidRDefault="00675FAF" w:rsidP="00675FAF">
      <w:pPr>
        <w:spacing w:line="360" w:lineRule="auto"/>
        <w:jc w:val="both"/>
        <w:rPr>
          <w:rFonts w:ascii="Arial" w:hAnsi="Arial" w:cs="Arial"/>
          <w:sz w:val="24"/>
          <w:szCs w:val="24"/>
          <w:lang w:eastAsia="es-MX"/>
        </w:rPr>
      </w:pPr>
      <w:bookmarkStart w:id="13" w:name="_Hlk66384041"/>
      <w:r>
        <w:rPr>
          <w:rFonts w:ascii="Arial" w:hAnsi="Arial" w:cs="Arial"/>
          <w:sz w:val="24"/>
          <w:szCs w:val="24"/>
          <w:lang w:eastAsia="es-MX"/>
        </w:rPr>
        <w:t xml:space="preserve">En cuanto a la solicitud de la y el promovente, este </w:t>
      </w:r>
      <w:r w:rsidRPr="00795B97">
        <w:rPr>
          <w:rFonts w:ascii="Arial" w:hAnsi="Arial" w:cs="Arial"/>
          <w:sz w:val="24"/>
          <w:szCs w:val="24"/>
          <w:lang w:eastAsia="es-MX"/>
        </w:rPr>
        <w:t xml:space="preserve">Tribunal considera </w:t>
      </w:r>
      <w:r w:rsidRPr="0071369F">
        <w:rPr>
          <w:rFonts w:ascii="Arial" w:hAnsi="Arial" w:cs="Arial"/>
          <w:sz w:val="24"/>
          <w:szCs w:val="24"/>
          <w:lang w:eastAsia="es-MX"/>
        </w:rPr>
        <w:t>que la</w:t>
      </w:r>
      <w:r>
        <w:rPr>
          <w:rFonts w:ascii="Arial" w:hAnsi="Arial" w:cs="Arial"/>
          <w:sz w:val="24"/>
          <w:szCs w:val="24"/>
          <w:lang w:eastAsia="es-MX"/>
        </w:rPr>
        <w:t xml:space="preserve"> posible </w:t>
      </w:r>
      <w:r w:rsidRPr="0071369F">
        <w:rPr>
          <w:rFonts w:ascii="Arial" w:hAnsi="Arial" w:cs="Arial"/>
          <w:sz w:val="24"/>
          <w:szCs w:val="24"/>
          <w:lang w:eastAsia="es-MX"/>
        </w:rPr>
        <w:t xml:space="preserve">aplicación de parámetros </w:t>
      </w:r>
      <w:r>
        <w:rPr>
          <w:rFonts w:ascii="Arial" w:hAnsi="Arial" w:cs="Arial"/>
          <w:sz w:val="24"/>
          <w:szCs w:val="24"/>
          <w:lang w:eastAsia="es-MX"/>
        </w:rPr>
        <w:t xml:space="preserve">adicionales, y en atención a la etapa próxima del registro de candidaturas, no es viable establecer mayores mecanismos, pues ello incide en el curso del proceso electoral, al variar las </w:t>
      </w:r>
      <w:r w:rsidR="00EA0590">
        <w:rPr>
          <w:rFonts w:ascii="Arial" w:hAnsi="Arial" w:cs="Arial"/>
          <w:sz w:val="24"/>
          <w:szCs w:val="24"/>
          <w:lang w:eastAsia="es-MX"/>
        </w:rPr>
        <w:t xml:space="preserve">reglas y acciones afirmativas establecidas en los lineamientos cuestionados. </w:t>
      </w:r>
    </w:p>
    <w:bookmarkEnd w:id="13"/>
    <w:p w14:paraId="4404A671" w14:textId="77777777" w:rsidR="00675FAF" w:rsidRDefault="00675FAF" w:rsidP="00125B30">
      <w:pPr>
        <w:rPr>
          <w:lang w:eastAsia="es-MX"/>
        </w:rPr>
      </w:pPr>
    </w:p>
    <w:p w14:paraId="0172049D" w14:textId="77777777" w:rsidR="00675FAF" w:rsidRPr="0071369F" w:rsidRDefault="00675FAF" w:rsidP="00675FAF">
      <w:pPr>
        <w:spacing w:line="360" w:lineRule="auto"/>
        <w:jc w:val="both"/>
        <w:rPr>
          <w:rFonts w:ascii="Arial" w:hAnsi="Arial" w:cs="Arial"/>
          <w:sz w:val="24"/>
          <w:szCs w:val="24"/>
          <w:lang w:eastAsia="es-MX"/>
        </w:rPr>
      </w:pPr>
      <w:r>
        <w:rPr>
          <w:rFonts w:ascii="Arial" w:hAnsi="Arial" w:cs="Arial"/>
          <w:sz w:val="24"/>
          <w:szCs w:val="24"/>
          <w:lang w:eastAsia="es-MX"/>
        </w:rPr>
        <w:t xml:space="preserve">Al respecto, está autoridad jurisdiccional tiene presente que si bien es cierto que el hecho de añadir mayores mecanismos tiene </w:t>
      </w:r>
      <w:r w:rsidRPr="0071369F">
        <w:rPr>
          <w:rFonts w:ascii="Arial" w:hAnsi="Arial" w:cs="Arial"/>
          <w:sz w:val="24"/>
          <w:szCs w:val="24"/>
          <w:lang w:eastAsia="es-MX"/>
        </w:rPr>
        <w:t xml:space="preserve">como propósito principal evitar que la autoridad administrativa o los partidos políticos obstaculicen la postulación </w:t>
      </w:r>
      <w:r>
        <w:rPr>
          <w:rFonts w:ascii="Arial" w:hAnsi="Arial" w:cs="Arial"/>
          <w:sz w:val="24"/>
          <w:szCs w:val="24"/>
          <w:lang w:eastAsia="es-MX"/>
        </w:rPr>
        <w:t xml:space="preserve">de candidaturas de ambos grupos, no obstante, también es cierto que en atención a las circunstancias del presente </w:t>
      </w:r>
      <w:r>
        <w:rPr>
          <w:rFonts w:ascii="Arial" w:hAnsi="Arial" w:cs="Arial"/>
          <w:sz w:val="24"/>
          <w:szCs w:val="24"/>
          <w:lang w:eastAsia="es-MX"/>
        </w:rPr>
        <w:lastRenderedPageBreak/>
        <w:t xml:space="preserve">caso no es posible </w:t>
      </w:r>
      <w:bookmarkStart w:id="14" w:name="_Hlk66381114"/>
      <w:r>
        <w:rPr>
          <w:rFonts w:ascii="Arial" w:hAnsi="Arial" w:cs="Arial"/>
          <w:sz w:val="24"/>
          <w:szCs w:val="24"/>
          <w:lang w:eastAsia="es-MX"/>
        </w:rPr>
        <w:t xml:space="preserve">sumar mayores medidas, pues ello incidiría en la certeza del proceso electoral. </w:t>
      </w:r>
      <w:bookmarkEnd w:id="14"/>
    </w:p>
    <w:p w14:paraId="0E279A0F" w14:textId="77777777" w:rsidR="00675FAF" w:rsidRPr="0071369F" w:rsidRDefault="00675FAF" w:rsidP="00675FAF">
      <w:pPr>
        <w:pStyle w:val="Sinespaciado"/>
      </w:pPr>
    </w:p>
    <w:p w14:paraId="204DEC92" w14:textId="77777777" w:rsidR="00675FAF" w:rsidRDefault="00675FAF" w:rsidP="00675FAF">
      <w:pPr>
        <w:spacing w:line="360" w:lineRule="auto"/>
        <w:jc w:val="both"/>
        <w:rPr>
          <w:rFonts w:ascii="Arial" w:hAnsi="Arial" w:cs="Arial"/>
          <w:sz w:val="24"/>
          <w:szCs w:val="24"/>
          <w:lang w:eastAsia="es-MX"/>
        </w:rPr>
      </w:pPr>
      <w:r w:rsidRPr="0071369F">
        <w:rPr>
          <w:rFonts w:ascii="Arial" w:hAnsi="Arial" w:cs="Arial"/>
          <w:sz w:val="24"/>
          <w:szCs w:val="24"/>
          <w:lang w:eastAsia="es-MX"/>
        </w:rPr>
        <w:t xml:space="preserve">De ahí que se considere </w:t>
      </w:r>
      <w:bookmarkStart w:id="15" w:name="_Hlk66381088"/>
      <w:r>
        <w:rPr>
          <w:rFonts w:ascii="Arial" w:hAnsi="Arial" w:cs="Arial"/>
          <w:sz w:val="24"/>
          <w:szCs w:val="24"/>
          <w:lang w:eastAsia="es-MX"/>
        </w:rPr>
        <w:t xml:space="preserve">que las reglas y medidas establecidas por la autoridad responsable, previo al inicio de la etapa de registro, son suficientes para que los partidos políticos y coaliciones estén en </w:t>
      </w:r>
      <w:r w:rsidRPr="0071369F">
        <w:rPr>
          <w:rFonts w:ascii="Arial" w:hAnsi="Arial" w:cs="Arial"/>
          <w:sz w:val="24"/>
          <w:szCs w:val="24"/>
          <w:lang w:eastAsia="es-MX"/>
        </w:rPr>
        <w:t>posibilidad de postular a personas de ambos grupos para la integración de las cuotas en cumplimiento a tal medida afirmativa.</w:t>
      </w:r>
    </w:p>
    <w:bookmarkEnd w:id="15"/>
    <w:p w14:paraId="68796814" w14:textId="77777777" w:rsidR="00675FAF" w:rsidRPr="0071369F" w:rsidRDefault="00675FAF" w:rsidP="00675FAF">
      <w:pPr>
        <w:pStyle w:val="Prrafodelista"/>
        <w:spacing w:line="360" w:lineRule="auto"/>
        <w:ind w:left="0"/>
        <w:jc w:val="both"/>
        <w:rPr>
          <w:rFonts w:ascii="Arial" w:hAnsi="Arial" w:cs="Arial"/>
          <w:sz w:val="24"/>
          <w:szCs w:val="24"/>
        </w:rPr>
      </w:pPr>
    </w:p>
    <w:p w14:paraId="149AB0F4" w14:textId="77777777" w:rsidR="00675FAF" w:rsidRDefault="00675FAF" w:rsidP="00675FAF">
      <w:pPr>
        <w:pStyle w:val="Prrafodelista"/>
        <w:spacing w:line="360" w:lineRule="auto"/>
        <w:ind w:left="0"/>
        <w:jc w:val="both"/>
        <w:rPr>
          <w:rFonts w:ascii="Arial" w:hAnsi="Arial" w:cs="Arial"/>
          <w:sz w:val="24"/>
          <w:szCs w:val="24"/>
        </w:rPr>
      </w:pPr>
      <w:r>
        <w:rPr>
          <w:rFonts w:ascii="Arial" w:hAnsi="Arial" w:cs="Arial"/>
          <w:sz w:val="24"/>
          <w:szCs w:val="24"/>
        </w:rPr>
        <w:t xml:space="preserve">Por otra parte, la parte recurrente refiere que </w:t>
      </w:r>
      <w:r w:rsidRPr="008937A4">
        <w:rPr>
          <w:rFonts w:ascii="Arial" w:hAnsi="Arial" w:cs="Arial"/>
          <w:sz w:val="24"/>
          <w:szCs w:val="24"/>
        </w:rPr>
        <w:t xml:space="preserve">la </w:t>
      </w:r>
      <w:r>
        <w:rPr>
          <w:rFonts w:ascii="Arial" w:hAnsi="Arial" w:cs="Arial"/>
          <w:sz w:val="24"/>
          <w:szCs w:val="24"/>
        </w:rPr>
        <w:t xml:space="preserve">autoridad </w:t>
      </w:r>
      <w:r w:rsidRPr="008937A4">
        <w:rPr>
          <w:rFonts w:ascii="Arial" w:hAnsi="Arial" w:cs="Arial"/>
          <w:sz w:val="24"/>
          <w:szCs w:val="24"/>
        </w:rPr>
        <w:t>responsable estableció las cuotas de manera insuficiente en los ayuntamientos, porque dejó de garantizar el posible acceso de los grupos minoritarios en todos los órganos de representación, ya que reconoció y tuvo presentes los principios de auto determinación y auto organización de los partidos políticos para que decidieran de forma libre en que órganos municipales iban a participar con postulaciones de dichos grupos</w:t>
      </w:r>
      <w:r>
        <w:rPr>
          <w:rFonts w:ascii="Arial" w:hAnsi="Arial" w:cs="Arial"/>
          <w:sz w:val="24"/>
          <w:szCs w:val="24"/>
        </w:rPr>
        <w:t xml:space="preserve">. </w:t>
      </w:r>
    </w:p>
    <w:p w14:paraId="0D834F2B" w14:textId="77777777" w:rsidR="00675FAF" w:rsidRDefault="00675FAF" w:rsidP="00500D98">
      <w:pPr>
        <w:pStyle w:val="Sinespaciado"/>
      </w:pPr>
    </w:p>
    <w:p w14:paraId="0180E5E3" w14:textId="20DF109C" w:rsidR="00675FAF" w:rsidRDefault="00675FAF" w:rsidP="00675FAF">
      <w:pPr>
        <w:pStyle w:val="Prrafodelista"/>
        <w:spacing w:line="360" w:lineRule="auto"/>
        <w:ind w:left="0"/>
        <w:jc w:val="both"/>
        <w:rPr>
          <w:rFonts w:ascii="Arial" w:hAnsi="Arial" w:cs="Arial"/>
          <w:sz w:val="24"/>
          <w:szCs w:val="24"/>
        </w:rPr>
      </w:pPr>
      <w:r>
        <w:rPr>
          <w:rFonts w:ascii="Arial" w:hAnsi="Arial" w:cs="Arial"/>
          <w:sz w:val="24"/>
          <w:szCs w:val="24"/>
        </w:rPr>
        <w:t xml:space="preserve">En consecuencias, afirma que el Instituto local tiene </w:t>
      </w:r>
      <w:r w:rsidRPr="008937A4">
        <w:rPr>
          <w:rFonts w:ascii="Arial" w:hAnsi="Arial" w:cs="Arial"/>
          <w:sz w:val="24"/>
          <w:szCs w:val="24"/>
        </w:rPr>
        <w:t>la necesidad de establecer mecanismos que garanticen el acceso real a todos los cargos y órganos de toma de decisiones.</w:t>
      </w:r>
    </w:p>
    <w:p w14:paraId="48FFF0F5" w14:textId="77777777" w:rsidR="00675FAF" w:rsidRDefault="00675FAF" w:rsidP="00500D98">
      <w:pPr>
        <w:pStyle w:val="Sinespaciado"/>
      </w:pPr>
    </w:p>
    <w:p w14:paraId="1DCBC963" w14:textId="3B292AD6" w:rsidR="00675FAF" w:rsidRDefault="00675FAF" w:rsidP="00675FAF">
      <w:pPr>
        <w:pStyle w:val="Prrafodelista"/>
        <w:spacing w:line="360" w:lineRule="auto"/>
        <w:ind w:left="0"/>
        <w:jc w:val="both"/>
        <w:rPr>
          <w:rFonts w:ascii="Arial" w:hAnsi="Arial" w:cs="Arial"/>
          <w:sz w:val="24"/>
          <w:szCs w:val="24"/>
        </w:rPr>
      </w:pPr>
      <w:r>
        <w:rPr>
          <w:rFonts w:ascii="Arial" w:hAnsi="Arial" w:cs="Arial"/>
          <w:sz w:val="24"/>
          <w:szCs w:val="24"/>
        </w:rPr>
        <w:t xml:space="preserve">Por su parte, este órgano jurisdiccional considera el hecho </w:t>
      </w:r>
      <w:r w:rsidRPr="008937A4">
        <w:rPr>
          <w:rFonts w:ascii="Arial" w:hAnsi="Arial" w:cs="Arial"/>
          <w:sz w:val="24"/>
          <w:szCs w:val="24"/>
        </w:rPr>
        <w:t xml:space="preserve">de permitir que los partidos políticos postulen persona de grupos vulnerables, indistintamente, en solo dos de los once municipios, </w:t>
      </w:r>
      <w:r>
        <w:rPr>
          <w:rFonts w:ascii="Arial" w:hAnsi="Arial" w:cs="Arial"/>
          <w:sz w:val="24"/>
          <w:szCs w:val="24"/>
        </w:rPr>
        <w:t>sí</w:t>
      </w:r>
      <w:r w:rsidRPr="008937A4">
        <w:rPr>
          <w:rFonts w:ascii="Arial" w:hAnsi="Arial" w:cs="Arial"/>
          <w:sz w:val="24"/>
          <w:szCs w:val="24"/>
        </w:rPr>
        <w:t xml:space="preserve"> garantiza el posible acceso real a todos los órganos de representación</w:t>
      </w:r>
      <w:r>
        <w:rPr>
          <w:rFonts w:ascii="Arial" w:hAnsi="Arial" w:cs="Arial"/>
          <w:sz w:val="24"/>
          <w:szCs w:val="24"/>
        </w:rPr>
        <w:t xml:space="preserve">, pues en el acto reclamado no se estableció alguna prohibición para que se les impidiera a tales institutos políticos que postularan candidaturas en un ayuntamiento en </w:t>
      </w:r>
      <w:r w:rsidR="002F2EED">
        <w:rPr>
          <w:rFonts w:ascii="Arial" w:hAnsi="Arial" w:cs="Arial"/>
          <w:sz w:val="24"/>
          <w:szCs w:val="24"/>
        </w:rPr>
        <w:t>particular</w:t>
      </w:r>
      <w:r>
        <w:rPr>
          <w:rFonts w:ascii="Arial" w:hAnsi="Arial" w:cs="Arial"/>
          <w:sz w:val="24"/>
          <w:szCs w:val="24"/>
        </w:rPr>
        <w:t xml:space="preserve">. </w:t>
      </w:r>
    </w:p>
    <w:p w14:paraId="2DF9ACDD" w14:textId="77777777" w:rsidR="00675FAF" w:rsidRDefault="00675FAF" w:rsidP="00500D98">
      <w:pPr>
        <w:pStyle w:val="Sinespaciado"/>
      </w:pPr>
    </w:p>
    <w:p w14:paraId="5E696237" w14:textId="77777777" w:rsidR="00675FAF" w:rsidRPr="008937A4" w:rsidRDefault="00675FAF" w:rsidP="00675FAF">
      <w:pPr>
        <w:pStyle w:val="Prrafodelista"/>
        <w:spacing w:line="360" w:lineRule="auto"/>
        <w:ind w:left="0"/>
        <w:jc w:val="both"/>
        <w:rPr>
          <w:rFonts w:ascii="Arial" w:hAnsi="Arial" w:cs="Arial"/>
          <w:sz w:val="24"/>
          <w:szCs w:val="24"/>
        </w:rPr>
      </w:pPr>
      <w:bookmarkStart w:id="16" w:name="_Hlk66381212"/>
      <w:r w:rsidRPr="008937A4">
        <w:rPr>
          <w:rFonts w:ascii="Arial" w:hAnsi="Arial" w:cs="Arial"/>
          <w:sz w:val="24"/>
          <w:szCs w:val="24"/>
        </w:rPr>
        <w:t xml:space="preserve">Ese decir, que la medida adoptada </w:t>
      </w:r>
      <w:r>
        <w:rPr>
          <w:rFonts w:ascii="Arial" w:hAnsi="Arial" w:cs="Arial"/>
          <w:sz w:val="24"/>
          <w:szCs w:val="24"/>
        </w:rPr>
        <w:t>sí</w:t>
      </w:r>
      <w:r w:rsidRPr="008937A4">
        <w:rPr>
          <w:rFonts w:ascii="Arial" w:hAnsi="Arial" w:cs="Arial"/>
          <w:sz w:val="24"/>
          <w:szCs w:val="24"/>
        </w:rPr>
        <w:t xml:space="preserve"> asegura la posibilidad de que dichos grupos sean representados en </w:t>
      </w:r>
      <w:r>
        <w:rPr>
          <w:rFonts w:ascii="Arial" w:hAnsi="Arial" w:cs="Arial"/>
          <w:sz w:val="24"/>
          <w:szCs w:val="24"/>
        </w:rPr>
        <w:t>distintas</w:t>
      </w:r>
      <w:r w:rsidRPr="008937A4">
        <w:rPr>
          <w:rFonts w:ascii="Arial" w:hAnsi="Arial" w:cs="Arial"/>
          <w:sz w:val="24"/>
          <w:szCs w:val="24"/>
        </w:rPr>
        <w:t xml:space="preserve"> demarcaciones,</w:t>
      </w:r>
      <w:r>
        <w:rPr>
          <w:rFonts w:ascii="Arial" w:hAnsi="Arial" w:cs="Arial"/>
          <w:sz w:val="24"/>
          <w:szCs w:val="24"/>
        </w:rPr>
        <w:t xml:space="preserve"> de acuerdo a la estrategia política y a la autorregulación del propio partido político </w:t>
      </w:r>
      <w:r w:rsidRPr="008937A4">
        <w:rPr>
          <w:rFonts w:ascii="Arial" w:hAnsi="Arial" w:cs="Arial"/>
          <w:sz w:val="24"/>
          <w:szCs w:val="24"/>
        </w:rPr>
        <w:t xml:space="preserve">y, por tanto, </w:t>
      </w:r>
      <w:r>
        <w:rPr>
          <w:rFonts w:ascii="Arial" w:hAnsi="Arial" w:cs="Arial"/>
          <w:sz w:val="24"/>
          <w:szCs w:val="24"/>
        </w:rPr>
        <w:t xml:space="preserve">no </w:t>
      </w:r>
      <w:r w:rsidRPr="008937A4">
        <w:rPr>
          <w:rFonts w:ascii="Arial" w:hAnsi="Arial" w:cs="Arial"/>
          <w:sz w:val="24"/>
          <w:szCs w:val="24"/>
        </w:rPr>
        <w:t xml:space="preserve">se dejó de promover y proteger el derecho a ser votado </w:t>
      </w:r>
      <w:r>
        <w:rPr>
          <w:rFonts w:ascii="Arial" w:hAnsi="Arial" w:cs="Arial"/>
          <w:sz w:val="24"/>
          <w:szCs w:val="24"/>
        </w:rPr>
        <w:t xml:space="preserve">en perjuicio </w:t>
      </w:r>
      <w:r w:rsidRPr="008937A4">
        <w:rPr>
          <w:rFonts w:ascii="Arial" w:hAnsi="Arial" w:cs="Arial"/>
          <w:sz w:val="24"/>
          <w:szCs w:val="24"/>
        </w:rPr>
        <w:t xml:space="preserve">de tales minorías. </w:t>
      </w:r>
    </w:p>
    <w:bookmarkEnd w:id="16"/>
    <w:p w14:paraId="0BE9C036" w14:textId="77777777" w:rsidR="00675FAF" w:rsidRPr="008937A4" w:rsidRDefault="00675FAF" w:rsidP="00675FAF">
      <w:pPr>
        <w:pStyle w:val="Sinespaciado"/>
      </w:pPr>
    </w:p>
    <w:p w14:paraId="217F7E22" w14:textId="355D34C6" w:rsidR="00675FAF" w:rsidRDefault="00675FAF" w:rsidP="00675FAF">
      <w:pPr>
        <w:pStyle w:val="Sinespaciado"/>
        <w:spacing w:line="360" w:lineRule="auto"/>
        <w:jc w:val="both"/>
        <w:rPr>
          <w:rFonts w:ascii="Arial" w:hAnsi="Arial" w:cs="Arial"/>
          <w:sz w:val="24"/>
          <w:szCs w:val="24"/>
        </w:rPr>
      </w:pPr>
      <w:r w:rsidRPr="008937A4">
        <w:rPr>
          <w:rFonts w:ascii="Arial" w:hAnsi="Arial" w:cs="Arial"/>
          <w:sz w:val="24"/>
          <w:szCs w:val="24"/>
        </w:rPr>
        <w:t xml:space="preserve">Igualmente, debe tomarse en cuenta </w:t>
      </w:r>
      <w:proofErr w:type="gramStart"/>
      <w:r w:rsidRPr="008937A4">
        <w:rPr>
          <w:rFonts w:ascii="Arial" w:hAnsi="Arial" w:cs="Arial"/>
          <w:sz w:val="24"/>
          <w:szCs w:val="24"/>
        </w:rPr>
        <w:t>que</w:t>
      </w:r>
      <w:proofErr w:type="gramEnd"/>
      <w:r w:rsidRPr="008937A4">
        <w:rPr>
          <w:rFonts w:ascii="Arial" w:hAnsi="Arial" w:cs="Arial"/>
          <w:sz w:val="24"/>
          <w:szCs w:val="24"/>
        </w:rPr>
        <w:t xml:space="preserve"> si bien los partidos políticos cuentan con la libre autodeterminación y autorregulación para realizar sus designaciones de candidaturas en los órganos de representación de la entidad, también es que en el caso se está procurando que los grupos vulnerables tengan la posibilidad a ser votados en </w:t>
      </w:r>
      <w:r>
        <w:rPr>
          <w:rFonts w:ascii="Arial" w:hAnsi="Arial" w:cs="Arial"/>
          <w:sz w:val="24"/>
          <w:szCs w:val="24"/>
        </w:rPr>
        <w:t>cualquiera de los distinto</w:t>
      </w:r>
      <w:r w:rsidR="002F2EED">
        <w:rPr>
          <w:rFonts w:ascii="Arial" w:hAnsi="Arial" w:cs="Arial"/>
          <w:sz w:val="24"/>
          <w:szCs w:val="24"/>
        </w:rPr>
        <w:t>s</w:t>
      </w:r>
      <w:r>
        <w:rPr>
          <w:rFonts w:ascii="Arial" w:hAnsi="Arial" w:cs="Arial"/>
          <w:sz w:val="24"/>
          <w:szCs w:val="24"/>
        </w:rPr>
        <w:t xml:space="preserve"> municipios que conforman la entidad. </w:t>
      </w:r>
    </w:p>
    <w:p w14:paraId="33169FC4" w14:textId="77777777" w:rsidR="00675FAF" w:rsidRPr="00500D98" w:rsidRDefault="00675FAF" w:rsidP="00500D98">
      <w:pPr>
        <w:pStyle w:val="Sinespaciado"/>
      </w:pPr>
      <w:r>
        <w:t xml:space="preserve"> </w:t>
      </w:r>
    </w:p>
    <w:p w14:paraId="05FBEBA3" w14:textId="77777777" w:rsidR="00675FAF" w:rsidRPr="0071369F" w:rsidRDefault="00675FAF" w:rsidP="00675FAF">
      <w:pPr>
        <w:pStyle w:val="Sinespaciado"/>
        <w:spacing w:line="360" w:lineRule="auto"/>
        <w:jc w:val="both"/>
        <w:rPr>
          <w:rFonts w:ascii="Arial" w:hAnsi="Arial" w:cs="Arial"/>
          <w:sz w:val="24"/>
          <w:szCs w:val="24"/>
        </w:rPr>
      </w:pPr>
      <w:r>
        <w:rPr>
          <w:rFonts w:ascii="Arial" w:hAnsi="Arial" w:cs="Arial"/>
          <w:sz w:val="24"/>
          <w:szCs w:val="24"/>
        </w:rPr>
        <w:t xml:space="preserve">Por lo anterior, este Tribunal considera que </w:t>
      </w:r>
      <w:r w:rsidRPr="0071369F">
        <w:rPr>
          <w:rFonts w:ascii="Arial" w:hAnsi="Arial" w:cs="Arial"/>
          <w:sz w:val="24"/>
          <w:szCs w:val="24"/>
        </w:rPr>
        <w:t xml:space="preserve">del análisis del acuerdo reclamado se advierte que la autoridad administrativa </w:t>
      </w:r>
      <w:r>
        <w:rPr>
          <w:rFonts w:ascii="Arial" w:hAnsi="Arial" w:cs="Arial"/>
          <w:sz w:val="24"/>
          <w:szCs w:val="24"/>
        </w:rPr>
        <w:t xml:space="preserve">ha procurado </w:t>
      </w:r>
      <w:r w:rsidRPr="0071369F">
        <w:rPr>
          <w:rFonts w:ascii="Arial" w:hAnsi="Arial" w:cs="Arial"/>
          <w:sz w:val="24"/>
          <w:szCs w:val="24"/>
        </w:rPr>
        <w:t xml:space="preserve">el efectivo cumplimiento de las cuotas y, por tanto, </w:t>
      </w:r>
      <w:r>
        <w:rPr>
          <w:rFonts w:ascii="Arial" w:hAnsi="Arial" w:cs="Arial"/>
          <w:sz w:val="24"/>
          <w:szCs w:val="24"/>
        </w:rPr>
        <w:t xml:space="preserve">no surge </w:t>
      </w:r>
      <w:r w:rsidRPr="0071369F">
        <w:rPr>
          <w:rFonts w:ascii="Arial" w:hAnsi="Arial" w:cs="Arial"/>
          <w:sz w:val="24"/>
          <w:szCs w:val="24"/>
        </w:rPr>
        <w:t>la necesidad de que se establezcan</w:t>
      </w:r>
      <w:r>
        <w:rPr>
          <w:rFonts w:ascii="Arial" w:hAnsi="Arial" w:cs="Arial"/>
          <w:sz w:val="24"/>
          <w:szCs w:val="24"/>
        </w:rPr>
        <w:t xml:space="preserve"> mayores mecanismos</w:t>
      </w:r>
      <w:r w:rsidRPr="0071369F">
        <w:rPr>
          <w:rFonts w:ascii="Arial" w:hAnsi="Arial" w:cs="Arial"/>
          <w:sz w:val="24"/>
          <w:szCs w:val="24"/>
        </w:rPr>
        <w:t xml:space="preserve">, pues también debe tomarse en cuenta que le fecha de registro de candidaturas inicia el 15 de marzo. </w:t>
      </w:r>
    </w:p>
    <w:p w14:paraId="2C8B7FFE" w14:textId="77777777" w:rsidR="00675FAF" w:rsidRPr="0071369F" w:rsidRDefault="00675FAF" w:rsidP="00500D98">
      <w:pPr>
        <w:pStyle w:val="Sinespaciado"/>
        <w:rPr>
          <w:highlight w:val="yellow"/>
        </w:rPr>
      </w:pPr>
    </w:p>
    <w:p w14:paraId="7EB9FA74" w14:textId="6107B41E" w:rsidR="00675FAF" w:rsidRDefault="00675FAF" w:rsidP="00675FAF">
      <w:pPr>
        <w:pStyle w:val="Prrafodelista"/>
        <w:spacing w:line="360" w:lineRule="auto"/>
        <w:ind w:left="0"/>
        <w:jc w:val="both"/>
        <w:rPr>
          <w:rFonts w:ascii="Arial" w:hAnsi="Arial" w:cs="Arial"/>
          <w:sz w:val="24"/>
          <w:szCs w:val="24"/>
        </w:rPr>
      </w:pPr>
      <w:r w:rsidRPr="0071369F">
        <w:rPr>
          <w:rFonts w:ascii="Arial" w:hAnsi="Arial" w:cs="Arial"/>
          <w:sz w:val="24"/>
          <w:szCs w:val="24"/>
        </w:rPr>
        <w:t>En atención a ello, los parámetros</w:t>
      </w:r>
      <w:r>
        <w:rPr>
          <w:rFonts w:ascii="Arial" w:hAnsi="Arial" w:cs="Arial"/>
          <w:sz w:val="24"/>
          <w:szCs w:val="24"/>
        </w:rPr>
        <w:t xml:space="preserve"> cuestionados</w:t>
      </w:r>
      <w:r w:rsidRPr="0071369F">
        <w:rPr>
          <w:rFonts w:ascii="Arial" w:hAnsi="Arial" w:cs="Arial"/>
          <w:sz w:val="24"/>
          <w:szCs w:val="24"/>
        </w:rPr>
        <w:t xml:space="preserve"> </w:t>
      </w:r>
      <w:r>
        <w:rPr>
          <w:rFonts w:ascii="Arial" w:hAnsi="Arial" w:cs="Arial"/>
          <w:sz w:val="24"/>
          <w:szCs w:val="24"/>
        </w:rPr>
        <w:t>tienen como</w:t>
      </w:r>
      <w:r w:rsidRPr="0071369F">
        <w:rPr>
          <w:rFonts w:ascii="Arial" w:hAnsi="Arial" w:cs="Arial"/>
          <w:sz w:val="24"/>
          <w:szCs w:val="24"/>
        </w:rPr>
        <w:t xml:space="preserve"> fin armonizar otros derechos y prerrogativas que coexisten en el sistema democrático. </w:t>
      </w:r>
      <w:r>
        <w:rPr>
          <w:rFonts w:ascii="Arial" w:hAnsi="Arial" w:cs="Arial"/>
          <w:sz w:val="24"/>
          <w:szCs w:val="24"/>
        </w:rPr>
        <w:t xml:space="preserve">Así que no es viable </w:t>
      </w:r>
      <w:r w:rsidR="002F2EED">
        <w:rPr>
          <w:rFonts w:ascii="Arial" w:hAnsi="Arial" w:cs="Arial"/>
          <w:sz w:val="24"/>
          <w:szCs w:val="24"/>
        </w:rPr>
        <w:t xml:space="preserve">adoptar o </w:t>
      </w:r>
      <w:r w:rsidR="002F2EED">
        <w:rPr>
          <w:rFonts w:ascii="Arial" w:hAnsi="Arial" w:cs="Arial"/>
          <w:sz w:val="24"/>
          <w:szCs w:val="24"/>
        </w:rPr>
        <w:lastRenderedPageBreak/>
        <w:t>implementar</w:t>
      </w:r>
      <w:r>
        <w:rPr>
          <w:rFonts w:ascii="Arial" w:hAnsi="Arial" w:cs="Arial"/>
          <w:sz w:val="24"/>
          <w:szCs w:val="24"/>
        </w:rPr>
        <w:t xml:space="preserve"> mayores acciones a favor de tales grupos, ya que se encuentran considerados para ser postulados en el proceso electoral en curso. </w:t>
      </w:r>
    </w:p>
    <w:p w14:paraId="61D0392F" w14:textId="77777777" w:rsidR="00675FAF" w:rsidRPr="0071369F" w:rsidRDefault="00675FAF" w:rsidP="00675FAF">
      <w:pPr>
        <w:pStyle w:val="Prrafodelista"/>
        <w:spacing w:line="360" w:lineRule="auto"/>
        <w:ind w:left="0"/>
        <w:jc w:val="both"/>
      </w:pPr>
    </w:p>
    <w:p w14:paraId="31BE9155" w14:textId="77777777" w:rsidR="00675FAF" w:rsidRPr="00257B1C" w:rsidRDefault="00675FAF" w:rsidP="00675FAF">
      <w:pPr>
        <w:spacing w:line="360" w:lineRule="auto"/>
        <w:jc w:val="both"/>
        <w:rPr>
          <w:rFonts w:ascii="Arial" w:hAnsi="Arial" w:cs="Arial"/>
          <w:b/>
          <w:bCs/>
          <w:sz w:val="24"/>
          <w:szCs w:val="24"/>
          <w:u w:val="single"/>
          <w:lang w:eastAsia="es-MX"/>
        </w:rPr>
      </w:pPr>
      <w:r>
        <w:rPr>
          <w:rFonts w:ascii="Arial" w:hAnsi="Arial" w:cs="Arial"/>
          <w:b/>
          <w:bCs/>
          <w:sz w:val="24"/>
          <w:szCs w:val="24"/>
          <w:u w:val="single"/>
          <w:lang w:eastAsia="es-MX"/>
        </w:rPr>
        <w:t>De la s</w:t>
      </w:r>
      <w:r w:rsidRPr="00257B1C">
        <w:rPr>
          <w:rFonts w:ascii="Arial" w:hAnsi="Arial" w:cs="Arial"/>
          <w:b/>
          <w:bCs/>
          <w:sz w:val="24"/>
          <w:szCs w:val="24"/>
          <w:u w:val="single"/>
          <w:lang w:eastAsia="es-MX"/>
        </w:rPr>
        <w:t xml:space="preserve">obrerrepresentación de los grupos </w:t>
      </w:r>
      <w:r>
        <w:rPr>
          <w:rFonts w:ascii="Arial" w:hAnsi="Arial" w:cs="Arial"/>
          <w:b/>
          <w:bCs/>
          <w:sz w:val="24"/>
          <w:szCs w:val="24"/>
          <w:u w:val="single"/>
          <w:lang w:eastAsia="es-MX"/>
        </w:rPr>
        <w:t>en situación de vulnerabilidad.</w:t>
      </w:r>
    </w:p>
    <w:p w14:paraId="3FCA2369" w14:textId="77777777" w:rsidR="00675FAF" w:rsidRDefault="00675FAF" w:rsidP="00675FAF"/>
    <w:p w14:paraId="11AE68DB" w14:textId="6AF943BE" w:rsidR="00675FAF" w:rsidRPr="00675FAF" w:rsidRDefault="00675FAF" w:rsidP="00675FAF">
      <w:pPr>
        <w:spacing w:line="360" w:lineRule="auto"/>
        <w:jc w:val="both"/>
        <w:rPr>
          <w:rFonts w:ascii="Arial" w:hAnsi="Arial" w:cs="Arial"/>
          <w:sz w:val="24"/>
          <w:szCs w:val="24"/>
          <w:lang w:eastAsia="es-MX"/>
        </w:rPr>
      </w:pPr>
      <w:r w:rsidRPr="00675FAF">
        <w:rPr>
          <w:rFonts w:ascii="Arial" w:hAnsi="Arial" w:cs="Arial"/>
          <w:sz w:val="24"/>
          <w:szCs w:val="24"/>
        </w:rPr>
        <w:t>Finalmente</w:t>
      </w:r>
      <w:r w:rsidRPr="00675FAF">
        <w:rPr>
          <w:rFonts w:ascii="Arial" w:hAnsi="Arial" w:cs="Arial"/>
          <w:sz w:val="24"/>
          <w:szCs w:val="24"/>
          <w:lang w:eastAsia="es-MX"/>
        </w:rPr>
        <w:t>, el promovente refiere que la cuota debe aplicarse por cargo en lo individual en los casos del Ayuntamiento (presidencia municipal, sindicatura y regiduría).</w:t>
      </w:r>
    </w:p>
    <w:p w14:paraId="1FBE028D" w14:textId="77777777" w:rsidR="00675FAF" w:rsidRDefault="00675FAF" w:rsidP="00675FAF">
      <w:pPr>
        <w:spacing w:line="360" w:lineRule="auto"/>
        <w:jc w:val="both"/>
        <w:rPr>
          <w:rFonts w:ascii="Arial" w:hAnsi="Arial" w:cs="Arial"/>
          <w:sz w:val="24"/>
          <w:szCs w:val="24"/>
          <w:lang w:eastAsia="es-MX"/>
        </w:rPr>
      </w:pPr>
    </w:p>
    <w:p w14:paraId="032F843E" w14:textId="7D12AD9D" w:rsidR="00675FAF" w:rsidRPr="0019255C" w:rsidRDefault="00675FAF" w:rsidP="00675FAF">
      <w:pPr>
        <w:spacing w:line="360" w:lineRule="auto"/>
        <w:jc w:val="both"/>
        <w:rPr>
          <w:rFonts w:ascii="Arial" w:hAnsi="Arial" w:cs="Arial"/>
          <w:sz w:val="24"/>
          <w:szCs w:val="24"/>
          <w:shd w:val="clear" w:color="auto" w:fill="FFFFFF"/>
        </w:rPr>
      </w:pPr>
      <w:r w:rsidRPr="0019255C">
        <w:rPr>
          <w:rFonts w:ascii="Arial" w:hAnsi="Arial" w:cs="Arial"/>
          <w:sz w:val="24"/>
          <w:szCs w:val="24"/>
          <w:shd w:val="clear" w:color="auto" w:fill="FFFFFF"/>
        </w:rPr>
        <w:t xml:space="preserve">Este Tribunal considera que </w:t>
      </w:r>
      <w:r w:rsidRPr="0019255C">
        <w:rPr>
          <w:rFonts w:ascii="Arial" w:hAnsi="Arial" w:cs="Arial"/>
          <w:b/>
          <w:bCs/>
          <w:sz w:val="24"/>
          <w:szCs w:val="24"/>
          <w:shd w:val="clear" w:color="auto" w:fill="FFFFFF"/>
        </w:rPr>
        <w:t>no le asiste la razón</w:t>
      </w:r>
      <w:r w:rsidRPr="0019255C">
        <w:rPr>
          <w:rFonts w:ascii="Arial" w:hAnsi="Arial" w:cs="Arial"/>
          <w:sz w:val="24"/>
          <w:szCs w:val="24"/>
          <w:shd w:val="clear" w:color="auto" w:fill="FFFFFF"/>
        </w:rPr>
        <w:t xml:space="preserve"> a la parte actora, porque el hecho de realizar el cálculo como lo exige, </w:t>
      </w:r>
      <w:r w:rsidR="00341B00">
        <w:rPr>
          <w:rFonts w:ascii="Arial" w:hAnsi="Arial" w:cs="Arial"/>
          <w:sz w:val="24"/>
          <w:szCs w:val="24"/>
          <w:shd w:val="clear" w:color="auto" w:fill="FFFFFF"/>
        </w:rPr>
        <w:t xml:space="preserve">impactaría desproporcionalmente </w:t>
      </w:r>
      <w:r w:rsidR="00276089">
        <w:rPr>
          <w:rFonts w:ascii="Arial" w:hAnsi="Arial" w:cs="Arial"/>
          <w:sz w:val="24"/>
          <w:szCs w:val="24"/>
          <w:shd w:val="clear" w:color="auto" w:fill="FFFFFF"/>
        </w:rPr>
        <w:t xml:space="preserve">en órganos de representación que por su naturaleza no existe la posibilidad no permiten una representación y, por tanto, </w:t>
      </w:r>
      <w:r>
        <w:rPr>
          <w:rFonts w:ascii="Arial" w:hAnsi="Arial" w:cs="Arial"/>
          <w:sz w:val="24"/>
          <w:szCs w:val="24"/>
          <w:shd w:val="clear" w:color="auto" w:fill="FFFFFF"/>
        </w:rPr>
        <w:t xml:space="preserve">no </w:t>
      </w:r>
      <w:r w:rsidR="00276089">
        <w:rPr>
          <w:rFonts w:ascii="Arial" w:hAnsi="Arial" w:cs="Arial"/>
          <w:sz w:val="24"/>
          <w:szCs w:val="24"/>
          <w:shd w:val="clear" w:color="auto" w:fill="FFFFFF"/>
        </w:rPr>
        <w:t xml:space="preserve">se </w:t>
      </w:r>
      <w:r>
        <w:rPr>
          <w:rFonts w:ascii="Arial" w:hAnsi="Arial" w:cs="Arial"/>
          <w:sz w:val="24"/>
          <w:szCs w:val="24"/>
          <w:shd w:val="clear" w:color="auto" w:fill="FFFFFF"/>
        </w:rPr>
        <w:t>justificaría la impleme</w:t>
      </w:r>
      <w:r w:rsidRPr="0019255C">
        <w:rPr>
          <w:rFonts w:ascii="Arial" w:hAnsi="Arial" w:cs="Arial"/>
          <w:sz w:val="24"/>
          <w:szCs w:val="24"/>
          <w:shd w:val="clear" w:color="auto" w:fill="FFFFFF"/>
        </w:rPr>
        <w:t>ntación de una cuota id</w:t>
      </w:r>
      <w:r>
        <w:rPr>
          <w:rFonts w:ascii="Arial" w:hAnsi="Arial" w:cs="Arial"/>
          <w:sz w:val="24"/>
          <w:szCs w:val="24"/>
          <w:shd w:val="clear" w:color="auto" w:fill="FFFFFF"/>
        </w:rPr>
        <w:t>ónea</w:t>
      </w:r>
      <w:r w:rsidRPr="0019255C">
        <w:rPr>
          <w:rFonts w:ascii="Arial" w:hAnsi="Arial" w:cs="Arial"/>
          <w:sz w:val="24"/>
          <w:szCs w:val="24"/>
          <w:shd w:val="clear" w:color="auto" w:fill="FFFFFF"/>
        </w:rPr>
        <w:t xml:space="preserve">, razonable y proporcional. </w:t>
      </w:r>
    </w:p>
    <w:p w14:paraId="50F0E0EA" w14:textId="77777777" w:rsidR="00675FAF" w:rsidRPr="0019255C" w:rsidRDefault="00675FAF" w:rsidP="00675FAF">
      <w:pPr>
        <w:pStyle w:val="Sinespaciado"/>
        <w:rPr>
          <w:shd w:val="clear" w:color="auto" w:fill="FFFFFF"/>
        </w:rPr>
      </w:pPr>
    </w:p>
    <w:p w14:paraId="2D58A470" w14:textId="5247E950" w:rsidR="00ED41AE" w:rsidRPr="0019255C" w:rsidRDefault="00675FAF" w:rsidP="00795B97">
      <w:pPr>
        <w:spacing w:line="360" w:lineRule="auto"/>
        <w:jc w:val="both"/>
        <w:rPr>
          <w:rFonts w:ascii="Arial" w:hAnsi="Arial" w:cs="Arial"/>
          <w:sz w:val="24"/>
          <w:szCs w:val="24"/>
          <w:shd w:val="clear" w:color="auto" w:fill="FFFFFF"/>
        </w:rPr>
      </w:pPr>
      <w:r w:rsidRPr="0019255C">
        <w:rPr>
          <w:rFonts w:ascii="Arial" w:hAnsi="Arial" w:cs="Arial"/>
          <w:sz w:val="24"/>
          <w:szCs w:val="24"/>
          <w:shd w:val="clear" w:color="auto" w:fill="FFFFFF"/>
        </w:rPr>
        <w:t>Lo anterior se debe a que el objetivo de implementar la medida afirmativa es precisamente que se garanticen espacios en los órganos de representación, de acuerdo a parámetro</w:t>
      </w:r>
      <w:r>
        <w:rPr>
          <w:rFonts w:ascii="Arial" w:hAnsi="Arial" w:cs="Arial"/>
          <w:sz w:val="24"/>
          <w:szCs w:val="24"/>
          <w:shd w:val="clear" w:color="auto" w:fill="FFFFFF"/>
        </w:rPr>
        <w:t>s</w:t>
      </w:r>
      <w:r w:rsidRPr="0019255C">
        <w:rPr>
          <w:rFonts w:ascii="Arial" w:hAnsi="Arial" w:cs="Arial"/>
          <w:sz w:val="24"/>
          <w:szCs w:val="24"/>
          <w:shd w:val="clear" w:color="auto" w:fill="FFFFFF"/>
        </w:rPr>
        <w:t xml:space="preserve"> de proporcionalidad y razonabilidad, más no en las formas en las que se divide el sistema de representación política, pues ello implicaría</w:t>
      </w:r>
      <w:r>
        <w:rPr>
          <w:rFonts w:ascii="Arial" w:hAnsi="Arial" w:cs="Arial"/>
          <w:sz w:val="24"/>
          <w:szCs w:val="24"/>
          <w:shd w:val="clear" w:color="auto" w:fill="FFFFFF"/>
        </w:rPr>
        <w:t xml:space="preserve"> un desequilibrio</w:t>
      </w:r>
      <w:r w:rsidRPr="0019255C">
        <w:rPr>
          <w:rFonts w:ascii="Arial" w:hAnsi="Arial" w:cs="Arial"/>
          <w:sz w:val="24"/>
          <w:szCs w:val="24"/>
          <w:shd w:val="clear" w:color="auto" w:fill="FFFFFF"/>
        </w:rPr>
        <w:t xml:space="preserve"> </w:t>
      </w:r>
      <w:r>
        <w:rPr>
          <w:rFonts w:ascii="Arial" w:hAnsi="Arial" w:cs="Arial"/>
          <w:sz w:val="24"/>
          <w:szCs w:val="24"/>
          <w:shd w:val="clear" w:color="auto" w:fill="FFFFFF"/>
        </w:rPr>
        <w:t xml:space="preserve">entre otros </w:t>
      </w:r>
      <w:r w:rsidRPr="0019255C">
        <w:rPr>
          <w:rFonts w:ascii="Arial" w:hAnsi="Arial" w:cs="Arial"/>
          <w:sz w:val="24"/>
          <w:szCs w:val="24"/>
          <w:shd w:val="clear" w:color="auto" w:fill="FFFFFF"/>
        </w:rPr>
        <w:t>principios y reglas que están diseñadas dentro</w:t>
      </w:r>
      <w:r>
        <w:rPr>
          <w:rFonts w:ascii="Arial" w:hAnsi="Arial" w:cs="Arial"/>
          <w:sz w:val="24"/>
          <w:szCs w:val="24"/>
          <w:shd w:val="clear" w:color="auto" w:fill="FFFFFF"/>
        </w:rPr>
        <w:t xml:space="preserve"> del sistema electoral mexicano.</w:t>
      </w:r>
    </w:p>
    <w:p w14:paraId="02F1A3CA" w14:textId="77777777" w:rsidR="00257B1C" w:rsidRPr="00795B97" w:rsidRDefault="00257B1C" w:rsidP="001F4FE4">
      <w:pPr>
        <w:jc w:val="both"/>
        <w:rPr>
          <w:rFonts w:ascii="Arial" w:hAnsi="Arial" w:cs="Arial"/>
          <w:color w:val="303030"/>
          <w:sz w:val="24"/>
          <w:szCs w:val="24"/>
          <w:shd w:val="clear" w:color="auto" w:fill="FFFFFF"/>
        </w:rPr>
      </w:pPr>
    </w:p>
    <w:p w14:paraId="36B1B57C" w14:textId="575BBCB6" w:rsidR="00D51A72" w:rsidRPr="0017171F" w:rsidRDefault="00B907C5" w:rsidP="00795B97">
      <w:pPr>
        <w:spacing w:line="360" w:lineRule="auto"/>
        <w:jc w:val="both"/>
        <w:rPr>
          <w:rFonts w:ascii="Arial" w:hAnsi="Arial" w:cs="Arial"/>
          <w:b/>
          <w:bCs/>
          <w:sz w:val="24"/>
          <w:szCs w:val="24"/>
          <w:u w:val="single"/>
          <w:shd w:val="clear" w:color="auto" w:fill="FFFFFF"/>
        </w:rPr>
      </w:pPr>
      <w:r>
        <w:rPr>
          <w:rFonts w:ascii="Arial" w:hAnsi="Arial" w:cs="Arial"/>
          <w:b/>
          <w:bCs/>
          <w:sz w:val="24"/>
          <w:szCs w:val="24"/>
          <w:u w:val="single"/>
          <w:shd w:val="clear" w:color="auto" w:fill="FFFFFF"/>
        </w:rPr>
        <w:t>De la o</w:t>
      </w:r>
      <w:r w:rsidR="00D51A72" w:rsidRPr="00257B1C">
        <w:rPr>
          <w:rFonts w:ascii="Arial" w:hAnsi="Arial" w:cs="Arial"/>
          <w:b/>
          <w:bCs/>
          <w:sz w:val="24"/>
          <w:szCs w:val="24"/>
          <w:u w:val="single"/>
          <w:shd w:val="clear" w:color="auto" w:fill="FFFFFF"/>
        </w:rPr>
        <w:t>misión de tomar en cuenta las recomendaciones del actor</w:t>
      </w:r>
    </w:p>
    <w:p w14:paraId="21D1EA9C" w14:textId="77777777" w:rsidR="00795B97" w:rsidRPr="00B907C5" w:rsidRDefault="00795B97" w:rsidP="00B907C5">
      <w:pPr>
        <w:pStyle w:val="Sinespaciado"/>
      </w:pPr>
    </w:p>
    <w:p w14:paraId="5FE74EB1" w14:textId="77777777" w:rsidR="00675FAF" w:rsidRPr="00675FAF" w:rsidRDefault="00675FAF" w:rsidP="00675FAF">
      <w:pPr>
        <w:spacing w:line="360" w:lineRule="auto"/>
        <w:jc w:val="both"/>
        <w:rPr>
          <w:rFonts w:ascii="Arial" w:hAnsi="Arial" w:cs="Arial"/>
          <w:sz w:val="24"/>
          <w:szCs w:val="24"/>
          <w:shd w:val="clear" w:color="auto" w:fill="FFFFFF"/>
        </w:rPr>
      </w:pPr>
      <w:r w:rsidRPr="00675FAF">
        <w:rPr>
          <w:rFonts w:ascii="Arial" w:hAnsi="Arial" w:cs="Arial"/>
          <w:sz w:val="24"/>
          <w:szCs w:val="24"/>
          <w:shd w:val="clear" w:color="auto" w:fill="FFFFFF"/>
        </w:rPr>
        <w:t>El actor refiere que la autoridad responsable vulneró sus derechos político-electorales, al haber omitido tomar en cuenta las recomendaciones presentadas ante el propio Instituto local, en materia de discapacidad.</w:t>
      </w:r>
    </w:p>
    <w:p w14:paraId="47C2C427" w14:textId="77777777" w:rsidR="00675FAF" w:rsidRPr="00675FAF" w:rsidRDefault="00675FAF" w:rsidP="00500D98">
      <w:pPr>
        <w:pStyle w:val="Sinespaciado"/>
        <w:rPr>
          <w:shd w:val="clear" w:color="auto" w:fill="FFFFFF"/>
        </w:rPr>
      </w:pPr>
    </w:p>
    <w:p w14:paraId="15EBDC92" w14:textId="77777777" w:rsidR="00675FAF" w:rsidRPr="00675FAF" w:rsidRDefault="00675FAF" w:rsidP="00675FAF">
      <w:pPr>
        <w:spacing w:line="360" w:lineRule="auto"/>
        <w:jc w:val="both"/>
        <w:rPr>
          <w:rFonts w:ascii="Arial" w:hAnsi="Arial" w:cs="Arial"/>
          <w:sz w:val="24"/>
          <w:szCs w:val="24"/>
          <w:shd w:val="clear" w:color="auto" w:fill="FFFFFF"/>
        </w:rPr>
      </w:pPr>
      <w:r w:rsidRPr="00675FAF">
        <w:rPr>
          <w:rFonts w:ascii="Arial" w:hAnsi="Arial" w:cs="Arial"/>
          <w:sz w:val="24"/>
          <w:szCs w:val="24"/>
          <w:shd w:val="clear" w:color="auto" w:fill="FFFFFF"/>
        </w:rPr>
        <w:t xml:space="preserve">Esta autoridad jurisdiccional estima que el hecho de que la autoridad responsable omitiera atender tales mecanismos no le genera perjuicio alguno, pues el Instituto local tenía la posibilidad de realizar el análisis para calcular la cuota a favor de las personas con discapacidad, con plena autonomía, en el ejercicio de sus atribuciones y en el uso de su facultad discrecional. </w:t>
      </w:r>
    </w:p>
    <w:p w14:paraId="14797CB2" w14:textId="77777777" w:rsidR="00675FAF" w:rsidRPr="00675FAF" w:rsidRDefault="00675FAF" w:rsidP="00500D98">
      <w:pPr>
        <w:pStyle w:val="Sinespaciado"/>
        <w:rPr>
          <w:shd w:val="clear" w:color="auto" w:fill="FFFFFF"/>
        </w:rPr>
      </w:pPr>
    </w:p>
    <w:p w14:paraId="13B18039" w14:textId="5D0A3BC6" w:rsidR="00675FAF" w:rsidRPr="00675FAF" w:rsidRDefault="00675FAF" w:rsidP="00675FAF">
      <w:pPr>
        <w:spacing w:line="360" w:lineRule="auto"/>
        <w:jc w:val="both"/>
        <w:rPr>
          <w:rFonts w:ascii="Arial" w:hAnsi="Arial" w:cs="Arial"/>
          <w:sz w:val="24"/>
          <w:szCs w:val="24"/>
          <w:shd w:val="clear" w:color="auto" w:fill="FFFFFF"/>
        </w:rPr>
      </w:pPr>
      <w:r w:rsidRPr="00675FAF">
        <w:rPr>
          <w:rFonts w:ascii="Arial" w:hAnsi="Arial" w:cs="Arial"/>
          <w:sz w:val="24"/>
          <w:szCs w:val="24"/>
          <w:shd w:val="clear" w:color="auto" w:fill="FFFFFF"/>
        </w:rPr>
        <w:t xml:space="preserve">Para realizar tal ejercicio, y con la finalidad de establecer la proporcionalidad de la representatividad de las personas con discapacidad en el Estado, realizó un análisis tomando como base los datos estadísticos generados por el INEGI referentes a la población que presenta alguna discapacidad y, posteriormente, </w:t>
      </w:r>
      <w:r w:rsidR="002F2EED">
        <w:rPr>
          <w:rFonts w:ascii="Arial" w:hAnsi="Arial" w:cs="Arial"/>
          <w:sz w:val="24"/>
          <w:szCs w:val="24"/>
          <w:shd w:val="clear" w:color="auto" w:fill="FFFFFF"/>
        </w:rPr>
        <w:t>efectuó</w:t>
      </w:r>
      <w:r w:rsidRPr="00675FAF">
        <w:rPr>
          <w:rFonts w:ascii="Arial" w:hAnsi="Arial" w:cs="Arial"/>
          <w:sz w:val="24"/>
          <w:szCs w:val="24"/>
          <w:shd w:val="clear" w:color="auto" w:fill="FFFFFF"/>
        </w:rPr>
        <w:t xml:space="preserve"> una depuración para determinar el número de personas que se encuentra en condición de ser votadas. </w:t>
      </w:r>
    </w:p>
    <w:p w14:paraId="1B90D018" w14:textId="77777777" w:rsidR="00675FAF" w:rsidRPr="00675FAF" w:rsidRDefault="00675FAF" w:rsidP="00500D98">
      <w:pPr>
        <w:pStyle w:val="Sinespaciado"/>
        <w:rPr>
          <w:shd w:val="clear" w:color="auto" w:fill="FFFFFF"/>
        </w:rPr>
      </w:pPr>
    </w:p>
    <w:p w14:paraId="7871014D" w14:textId="6826B722" w:rsidR="00675FAF" w:rsidRDefault="00675FAF" w:rsidP="00675FAF">
      <w:pPr>
        <w:spacing w:line="360" w:lineRule="auto"/>
        <w:jc w:val="both"/>
        <w:rPr>
          <w:rFonts w:ascii="Arial" w:hAnsi="Arial" w:cs="Arial"/>
          <w:sz w:val="24"/>
          <w:szCs w:val="24"/>
          <w:shd w:val="clear" w:color="auto" w:fill="FFFFFF"/>
        </w:rPr>
      </w:pPr>
      <w:r w:rsidRPr="00675FAF">
        <w:rPr>
          <w:rFonts w:ascii="Arial" w:hAnsi="Arial" w:cs="Arial"/>
          <w:sz w:val="24"/>
          <w:szCs w:val="24"/>
          <w:shd w:val="clear" w:color="auto" w:fill="FFFFFF"/>
        </w:rPr>
        <w:t>En tal sentido, se considera que la autoridad responsable se allegó de los datos idóneos para realizar el cálculo que le ordenó la Sala Monterrey (SM-JDC-59/2021) el cual fue suficiente y correcto. Por tanto, no tenía la obligación de tomar en consideración las recomendaciones ofrecidas por el actor.</w:t>
      </w:r>
    </w:p>
    <w:p w14:paraId="304C82FF" w14:textId="77777777" w:rsidR="00125B30" w:rsidRPr="00EE329E" w:rsidRDefault="00125B30" w:rsidP="00500D98">
      <w:pPr>
        <w:pStyle w:val="Sinespaciado"/>
        <w:rPr>
          <w:shd w:val="clear" w:color="auto" w:fill="FFFFFF"/>
        </w:rPr>
      </w:pPr>
    </w:p>
    <w:p w14:paraId="2BF0CF67" w14:textId="7A0429D4" w:rsidR="00AE11FE" w:rsidRPr="004B356E" w:rsidRDefault="00AE11FE" w:rsidP="00795B97">
      <w:pPr>
        <w:spacing w:line="360" w:lineRule="auto"/>
        <w:jc w:val="both"/>
        <w:rPr>
          <w:rFonts w:ascii="Arial" w:hAnsi="Arial" w:cs="Arial"/>
          <w:b/>
          <w:bCs/>
          <w:sz w:val="24"/>
          <w:szCs w:val="24"/>
          <w:u w:val="single"/>
          <w:shd w:val="clear" w:color="auto" w:fill="FFFFFF"/>
        </w:rPr>
      </w:pPr>
      <w:r w:rsidRPr="004B356E">
        <w:rPr>
          <w:rFonts w:ascii="Arial" w:hAnsi="Arial" w:cs="Arial"/>
          <w:b/>
          <w:bCs/>
          <w:sz w:val="24"/>
          <w:szCs w:val="24"/>
          <w:u w:val="single"/>
          <w:shd w:val="clear" w:color="auto" w:fill="FFFFFF"/>
        </w:rPr>
        <w:t xml:space="preserve">No </w:t>
      </w:r>
      <w:r w:rsidR="002C3354">
        <w:rPr>
          <w:rFonts w:ascii="Arial" w:hAnsi="Arial" w:cs="Arial"/>
          <w:b/>
          <w:bCs/>
          <w:sz w:val="24"/>
          <w:szCs w:val="24"/>
          <w:u w:val="single"/>
          <w:shd w:val="clear" w:color="auto" w:fill="FFFFFF"/>
        </w:rPr>
        <w:t>es procedente</w:t>
      </w:r>
      <w:r w:rsidRPr="004B356E">
        <w:rPr>
          <w:rFonts w:ascii="Arial" w:hAnsi="Arial" w:cs="Arial"/>
          <w:b/>
          <w:bCs/>
          <w:sz w:val="24"/>
          <w:szCs w:val="24"/>
          <w:u w:val="single"/>
          <w:shd w:val="clear" w:color="auto" w:fill="FFFFFF"/>
        </w:rPr>
        <w:t xml:space="preserve"> dar vista al Consejo General del INE</w:t>
      </w:r>
    </w:p>
    <w:p w14:paraId="7188CDE1" w14:textId="284F12D2" w:rsidR="00AE11FE" w:rsidRDefault="00AE11FE" w:rsidP="00207A93">
      <w:pPr>
        <w:pStyle w:val="Sinespaciado"/>
        <w:rPr>
          <w:shd w:val="clear" w:color="auto" w:fill="FFFFFF"/>
        </w:rPr>
      </w:pPr>
    </w:p>
    <w:p w14:paraId="3EFE81C5" w14:textId="77777777" w:rsidR="00675FAF" w:rsidRDefault="00675FAF" w:rsidP="00675FA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Finalmente, la ciudadana Salma Luévano Luna solicita dar vista al Consejo General del INE en atención a la actuación de las y los consejeros del Consejo General del IEE, pues considera que fue indebida.</w:t>
      </w:r>
    </w:p>
    <w:p w14:paraId="44C527E0" w14:textId="77777777" w:rsidR="00675FAF" w:rsidRDefault="00675FAF" w:rsidP="00675FAF">
      <w:pPr>
        <w:spacing w:line="360" w:lineRule="auto"/>
        <w:jc w:val="both"/>
        <w:rPr>
          <w:rFonts w:ascii="Arial" w:hAnsi="Arial" w:cs="Arial"/>
          <w:sz w:val="24"/>
          <w:szCs w:val="24"/>
          <w:shd w:val="clear" w:color="auto" w:fill="FFFFFF"/>
        </w:rPr>
      </w:pPr>
    </w:p>
    <w:p w14:paraId="5A9796E3" w14:textId="77777777" w:rsidR="00675FAF" w:rsidRDefault="00675FAF" w:rsidP="00675FA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Al respecto, este Tribunal considera que la solicitud de vista es improcedente, pues las medidas afirmativas establecidas en el acuerdo reclamado, fueron confirmadas y, por tanto, no se advierte un actuar indebido o carente de probidad por parte de las o los consejeros electorales. Por ello, no es posible atender la petición de dar vista al Consejo General del INE.</w:t>
      </w:r>
    </w:p>
    <w:p w14:paraId="5E152B20" w14:textId="4BBBF464" w:rsidR="00054D63" w:rsidRDefault="00054D63" w:rsidP="00A80D71">
      <w:pPr>
        <w:contextualSpacing/>
        <w:jc w:val="both"/>
        <w:rPr>
          <w:rFonts w:ascii="Arial" w:hAnsi="Arial" w:cs="Arial"/>
          <w:sz w:val="24"/>
          <w:szCs w:val="24"/>
          <w:lang w:eastAsia="es-MX"/>
        </w:rPr>
      </w:pPr>
    </w:p>
    <w:p w14:paraId="544CC23F" w14:textId="59289240" w:rsidR="00054D63" w:rsidRDefault="00054D63" w:rsidP="00795B97">
      <w:pPr>
        <w:spacing w:line="360" w:lineRule="auto"/>
        <w:contextualSpacing/>
        <w:jc w:val="both"/>
        <w:rPr>
          <w:rFonts w:ascii="Arial" w:hAnsi="Arial" w:cs="Arial"/>
          <w:sz w:val="24"/>
          <w:szCs w:val="24"/>
          <w:lang w:eastAsia="es-MX"/>
        </w:rPr>
      </w:pPr>
      <w:r w:rsidRPr="00795B97">
        <w:rPr>
          <w:rFonts w:ascii="Arial" w:hAnsi="Arial" w:cs="Arial"/>
          <w:sz w:val="24"/>
          <w:szCs w:val="24"/>
          <w:lang w:eastAsia="es-MX"/>
        </w:rPr>
        <w:t xml:space="preserve">Por las consideraciones expuestas, lo procedente es: </w:t>
      </w:r>
    </w:p>
    <w:p w14:paraId="4E963757" w14:textId="77777777" w:rsidR="00371850" w:rsidRPr="00795B97" w:rsidRDefault="00371850" w:rsidP="00795B97">
      <w:pPr>
        <w:spacing w:line="360" w:lineRule="auto"/>
        <w:contextualSpacing/>
        <w:jc w:val="both"/>
        <w:rPr>
          <w:rFonts w:ascii="Arial" w:hAnsi="Arial" w:cs="Arial"/>
          <w:sz w:val="24"/>
          <w:szCs w:val="24"/>
          <w:lang w:eastAsia="es-MX"/>
        </w:rPr>
      </w:pPr>
    </w:p>
    <w:p w14:paraId="503BBFA1" w14:textId="77777777" w:rsidR="00054D63" w:rsidRPr="00795B97" w:rsidRDefault="00054D63" w:rsidP="00ED41AE">
      <w:pPr>
        <w:pStyle w:val="Sinespaciado"/>
      </w:pPr>
    </w:p>
    <w:p w14:paraId="6152DFF4" w14:textId="1E87C3A8" w:rsidR="00054D63" w:rsidRDefault="00054D63" w:rsidP="00371850">
      <w:pPr>
        <w:pStyle w:val="Ttulo2"/>
        <w:numPr>
          <w:ilvl w:val="0"/>
          <w:numId w:val="2"/>
        </w:numPr>
        <w:spacing w:before="0" w:line="360" w:lineRule="auto"/>
        <w:contextualSpacing/>
        <w:jc w:val="center"/>
        <w:rPr>
          <w:rFonts w:ascii="Arial" w:hAnsi="Arial" w:cs="Arial"/>
          <w:color w:val="auto"/>
          <w:sz w:val="24"/>
          <w:szCs w:val="24"/>
          <w:lang w:val="es-ES_tradnl"/>
        </w:rPr>
      </w:pPr>
      <w:bookmarkStart w:id="17" w:name="_Toc65238651"/>
      <w:bookmarkStart w:id="18" w:name="_Toc5673433"/>
      <w:bookmarkEnd w:id="9"/>
      <w:r w:rsidRPr="00795B97">
        <w:rPr>
          <w:rFonts w:ascii="Arial" w:hAnsi="Arial" w:cs="Arial"/>
          <w:color w:val="auto"/>
          <w:sz w:val="24"/>
          <w:szCs w:val="24"/>
          <w:lang w:val="es-ES_tradnl"/>
        </w:rPr>
        <w:t>R</w:t>
      </w:r>
      <w:r w:rsidR="00895B69" w:rsidRPr="00795B97">
        <w:rPr>
          <w:rFonts w:ascii="Arial" w:hAnsi="Arial" w:cs="Arial"/>
          <w:color w:val="auto"/>
          <w:sz w:val="24"/>
          <w:szCs w:val="24"/>
          <w:lang w:val="es-ES_tradnl"/>
        </w:rPr>
        <w:t>esuelve</w:t>
      </w:r>
      <w:bookmarkEnd w:id="17"/>
      <w:r w:rsidR="001F17C5">
        <w:rPr>
          <w:rFonts w:ascii="Arial" w:hAnsi="Arial" w:cs="Arial"/>
          <w:color w:val="auto"/>
          <w:sz w:val="24"/>
          <w:szCs w:val="24"/>
          <w:lang w:val="es-ES_tradnl"/>
        </w:rPr>
        <w:t>:</w:t>
      </w:r>
    </w:p>
    <w:p w14:paraId="2FC9A581" w14:textId="77777777" w:rsidR="001F17C5" w:rsidRPr="001F17C5" w:rsidRDefault="001F17C5" w:rsidP="001F17C5">
      <w:pPr>
        <w:rPr>
          <w:lang w:val="es-ES_tradnl"/>
        </w:rPr>
      </w:pPr>
    </w:p>
    <w:p w14:paraId="5D3AAC20" w14:textId="53D4265C" w:rsidR="003B10B2" w:rsidRPr="00125B30" w:rsidRDefault="00675FAF" w:rsidP="00125B30">
      <w:pPr>
        <w:spacing w:line="360" w:lineRule="auto"/>
        <w:rPr>
          <w:rFonts w:ascii="Arial" w:hAnsi="Arial" w:cs="Arial"/>
          <w:sz w:val="24"/>
          <w:szCs w:val="24"/>
          <w:lang w:val="es-ES_tradnl"/>
        </w:rPr>
      </w:pPr>
      <w:r>
        <w:rPr>
          <w:rFonts w:ascii="Arial" w:hAnsi="Arial" w:cs="Arial"/>
          <w:b/>
          <w:bCs/>
          <w:sz w:val="24"/>
          <w:szCs w:val="24"/>
          <w:lang w:val="es-ES_tradnl"/>
        </w:rPr>
        <w:t>Único</w:t>
      </w:r>
      <w:r w:rsidR="001F17C5" w:rsidRPr="001F17C5">
        <w:rPr>
          <w:rFonts w:ascii="Arial" w:hAnsi="Arial" w:cs="Arial"/>
          <w:b/>
          <w:bCs/>
          <w:sz w:val="24"/>
          <w:szCs w:val="24"/>
          <w:lang w:val="es-ES_tradnl"/>
        </w:rPr>
        <w:t>.</w:t>
      </w:r>
      <w:r w:rsidR="001F17C5" w:rsidRPr="001F17C5">
        <w:rPr>
          <w:rFonts w:ascii="Arial" w:hAnsi="Arial" w:cs="Arial"/>
          <w:sz w:val="24"/>
          <w:szCs w:val="24"/>
          <w:lang w:val="es-ES_tradnl"/>
        </w:rPr>
        <w:t xml:space="preserve"> </w:t>
      </w:r>
      <w:r w:rsidRPr="00675FAF">
        <w:rPr>
          <w:rFonts w:ascii="Arial" w:hAnsi="Arial" w:cs="Arial"/>
          <w:sz w:val="24"/>
          <w:szCs w:val="24"/>
          <w:lang w:val="es-ES_tradnl"/>
        </w:rPr>
        <w:t xml:space="preserve">Se </w:t>
      </w:r>
      <w:r w:rsidR="00125B30" w:rsidRPr="00125B30">
        <w:rPr>
          <w:rFonts w:ascii="Arial" w:hAnsi="Arial" w:cs="Arial"/>
          <w:b/>
          <w:bCs/>
          <w:sz w:val="24"/>
          <w:szCs w:val="24"/>
          <w:lang w:val="es-ES_tradnl"/>
        </w:rPr>
        <w:t>confirma</w:t>
      </w:r>
      <w:r w:rsidRPr="00675FAF">
        <w:rPr>
          <w:rFonts w:ascii="Arial" w:hAnsi="Arial" w:cs="Arial"/>
          <w:sz w:val="24"/>
          <w:szCs w:val="24"/>
          <w:lang w:val="es-ES_tradnl"/>
        </w:rPr>
        <w:t xml:space="preserve"> el acuerdo (CG-A-26/2021) del Instituto local</w:t>
      </w:r>
      <w:r w:rsidR="00125B30">
        <w:rPr>
          <w:rFonts w:ascii="Arial" w:hAnsi="Arial" w:cs="Arial"/>
          <w:sz w:val="24"/>
          <w:szCs w:val="24"/>
          <w:lang w:val="es-ES_tradnl"/>
        </w:rPr>
        <w:t>.</w:t>
      </w:r>
    </w:p>
    <w:p w14:paraId="6B351D67" w14:textId="77777777" w:rsidR="00054D63" w:rsidRPr="00795B97" w:rsidRDefault="00054D63" w:rsidP="00ED41AE">
      <w:pPr>
        <w:pStyle w:val="Sinespaciado"/>
        <w:rPr>
          <w:lang w:eastAsia="es-MX"/>
        </w:rPr>
      </w:pPr>
    </w:p>
    <w:p w14:paraId="6FB5F805" w14:textId="77777777" w:rsidR="00054D63" w:rsidRPr="00795B97" w:rsidRDefault="00054D63" w:rsidP="00795B97">
      <w:pPr>
        <w:tabs>
          <w:tab w:val="left" w:pos="0"/>
          <w:tab w:val="left" w:pos="426"/>
        </w:tabs>
        <w:spacing w:after="200" w:line="360" w:lineRule="auto"/>
        <w:jc w:val="both"/>
        <w:rPr>
          <w:rFonts w:ascii="Arial" w:eastAsia="Arial" w:hAnsi="Arial" w:cs="Arial"/>
          <w:color w:val="000000"/>
          <w:sz w:val="24"/>
          <w:szCs w:val="24"/>
        </w:rPr>
      </w:pPr>
      <w:r w:rsidRPr="00795B97">
        <w:rPr>
          <w:rFonts w:ascii="Arial" w:eastAsia="Arial" w:hAnsi="Arial" w:cs="Arial"/>
          <w:b/>
          <w:bCs/>
          <w:color w:val="000000"/>
          <w:sz w:val="24"/>
          <w:szCs w:val="24"/>
          <w:u w:color="000000"/>
          <w:bdr w:val="nil"/>
          <w:lang w:val="es-ES_tradnl" w:eastAsia="es-MX"/>
        </w:rPr>
        <w:t>Notifíquese</w:t>
      </w:r>
      <w:r w:rsidRPr="00795B97">
        <w:rPr>
          <w:rFonts w:ascii="Arial" w:eastAsia="Arial" w:hAnsi="Arial" w:cs="Arial"/>
          <w:color w:val="000000"/>
          <w:sz w:val="24"/>
          <w:szCs w:val="24"/>
          <w:u w:color="000000"/>
          <w:bdr w:val="nil"/>
          <w:lang w:val="es-ES_tradnl" w:eastAsia="es-MX"/>
        </w:rPr>
        <w:t xml:space="preserve"> conforme a Derecho. </w:t>
      </w:r>
      <w:bookmarkEnd w:id="18"/>
    </w:p>
    <w:p w14:paraId="32F8BE8B" w14:textId="3152704F" w:rsidR="00054D63" w:rsidRPr="00795B97" w:rsidRDefault="00054D63" w:rsidP="00795B97">
      <w:pPr>
        <w:spacing w:line="360" w:lineRule="auto"/>
        <w:jc w:val="both"/>
        <w:rPr>
          <w:rFonts w:ascii="Arial" w:hAnsi="Arial" w:cs="Arial"/>
          <w:bCs/>
          <w:sz w:val="24"/>
          <w:szCs w:val="24"/>
        </w:rPr>
      </w:pPr>
      <w:r w:rsidRPr="00795B97">
        <w:rPr>
          <w:rFonts w:ascii="Arial" w:hAnsi="Arial" w:cs="Arial"/>
          <w:sz w:val="24"/>
          <w:szCs w:val="24"/>
          <w:lang w:eastAsia="es-MX"/>
        </w:rPr>
        <w:t>Así lo resolvieron, por</w:t>
      </w:r>
      <w:r w:rsidRPr="00795B97">
        <w:rPr>
          <w:rFonts w:ascii="Arial" w:hAnsi="Arial" w:cs="Arial"/>
          <w:b/>
          <w:bCs/>
          <w:sz w:val="24"/>
          <w:szCs w:val="24"/>
        </w:rPr>
        <w:t xml:space="preserve"> </w:t>
      </w:r>
      <w:r w:rsidR="00493E6A">
        <w:rPr>
          <w:rFonts w:ascii="Arial" w:hAnsi="Arial" w:cs="Arial"/>
          <w:sz w:val="24"/>
          <w:szCs w:val="24"/>
        </w:rPr>
        <w:t xml:space="preserve">unanimidad </w:t>
      </w:r>
      <w:r w:rsidRPr="00795B97">
        <w:rPr>
          <w:rFonts w:ascii="Arial" w:hAnsi="Arial" w:cs="Arial"/>
          <w:sz w:val="24"/>
          <w:szCs w:val="24"/>
        </w:rPr>
        <w:t xml:space="preserve">de votos, </w:t>
      </w:r>
      <w:r w:rsidRPr="00795B97">
        <w:rPr>
          <w:rFonts w:ascii="Arial" w:hAnsi="Arial" w:cs="Arial"/>
          <w:bCs/>
          <w:sz w:val="24"/>
          <w:szCs w:val="24"/>
        </w:rPr>
        <w:t>las Magistrada y el Magistrado del Tribunal Electoral del Estado de Aguascalientes</w:t>
      </w:r>
      <w:r w:rsidRPr="00795B97">
        <w:rPr>
          <w:rFonts w:ascii="Arial" w:hAnsi="Arial" w:cs="Arial"/>
          <w:sz w:val="24"/>
          <w:szCs w:val="24"/>
        </w:rPr>
        <w:t xml:space="preserve">, </w:t>
      </w:r>
      <w:r w:rsidRPr="00795B97">
        <w:rPr>
          <w:rFonts w:ascii="Arial" w:hAnsi="Arial" w:cs="Arial"/>
          <w:bCs/>
          <w:sz w:val="24"/>
          <w:szCs w:val="24"/>
        </w:rPr>
        <w:t>ante el Secretario General de Acuerdos que autoriza y da fe.</w:t>
      </w:r>
    </w:p>
    <w:p w14:paraId="0BB2B58A" w14:textId="333A079D" w:rsidR="00054D63" w:rsidRDefault="00054D63" w:rsidP="00795B97">
      <w:pPr>
        <w:spacing w:line="360" w:lineRule="auto"/>
        <w:jc w:val="both"/>
        <w:rPr>
          <w:rFonts w:ascii="Arial" w:hAnsi="Arial" w:cs="Arial"/>
          <w:bCs/>
          <w:sz w:val="24"/>
          <w:szCs w:val="24"/>
        </w:rPr>
      </w:pPr>
    </w:p>
    <w:p w14:paraId="5442DEB0" w14:textId="77777777" w:rsidR="00B907C5" w:rsidRPr="00795B97" w:rsidRDefault="00B907C5" w:rsidP="00795B97">
      <w:pPr>
        <w:spacing w:line="360" w:lineRule="auto"/>
        <w:jc w:val="both"/>
        <w:rPr>
          <w:rFonts w:ascii="Arial" w:hAnsi="Arial" w:cs="Arial"/>
          <w:bCs/>
          <w:sz w:val="24"/>
          <w:szCs w:val="24"/>
        </w:rPr>
      </w:pPr>
    </w:p>
    <w:tbl>
      <w:tblPr>
        <w:tblW w:w="8175" w:type="dxa"/>
        <w:jc w:val="center"/>
        <w:tblLayout w:type="fixed"/>
        <w:tblLook w:val="04A0" w:firstRow="1" w:lastRow="0" w:firstColumn="1" w:lastColumn="0" w:noHBand="0" w:noVBand="1"/>
      </w:tblPr>
      <w:tblGrid>
        <w:gridCol w:w="4063"/>
        <w:gridCol w:w="4112"/>
      </w:tblGrid>
      <w:tr w:rsidR="00667675" w:rsidRPr="00795B97" w14:paraId="0211FD11" w14:textId="77777777" w:rsidTr="00667675">
        <w:trPr>
          <w:trHeight w:val="1093"/>
          <w:jc w:val="center"/>
        </w:trPr>
        <w:tc>
          <w:tcPr>
            <w:tcW w:w="8175" w:type="dxa"/>
            <w:gridSpan w:val="2"/>
          </w:tcPr>
          <w:bookmarkEnd w:id="6"/>
          <w:p w14:paraId="50FD07F2" w14:textId="4EC52B6B" w:rsidR="00667675" w:rsidRPr="00795B97" w:rsidRDefault="00667675" w:rsidP="00795B97">
            <w:pPr>
              <w:pStyle w:val="NormalWeb"/>
              <w:spacing w:before="0" w:beforeAutospacing="0" w:after="0" w:afterAutospacing="0" w:line="360" w:lineRule="auto"/>
              <w:ind w:right="49"/>
              <w:contextualSpacing/>
              <w:mirrorIndents/>
              <w:jc w:val="center"/>
              <w:rPr>
                <w:rFonts w:ascii="Arial" w:hAnsi="Arial" w:cs="Arial"/>
                <w:b/>
                <w:bCs/>
                <w:lang w:val="es-ES" w:eastAsia="en-US"/>
              </w:rPr>
            </w:pPr>
            <w:r w:rsidRPr="00795B97">
              <w:rPr>
                <w:rFonts w:ascii="Arial" w:hAnsi="Arial" w:cs="Arial"/>
                <w:b/>
                <w:bCs/>
                <w:lang w:val="es-ES" w:eastAsia="en-US"/>
              </w:rPr>
              <w:t>MAGISTRADA PRESIDENTA</w:t>
            </w:r>
          </w:p>
          <w:p w14:paraId="1626B7BE" w14:textId="14BC1FC5" w:rsidR="00667675" w:rsidRPr="00795B97" w:rsidRDefault="00667675" w:rsidP="00795B97">
            <w:pPr>
              <w:pStyle w:val="NormalWeb"/>
              <w:spacing w:before="0" w:beforeAutospacing="0" w:after="0" w:afterAutospacing="0" w:line="360" w:lineRule="auto"/>
              <w:ind w:right="49"/>
              <w:contextualSpacing/>
              <w:mirrorIndents/>
              <w:jc w:val="center"/>
              <w:rPr>
                <w:rFonts w:ascii="Arial" w:hAnsi="Arial" w:cs="Arial"/>
                <w:b/>
                <w:bCs/>
                <w:lang w:val="es-ES" w:eastAsia="en-US"/>
              </w:rPr>
            </w:pPr>
          </w:p>
          <w:p w14:paraId="1618F4C0" w14:textId="6CD2A897" w:rsidR="00667675" w:rsidRDefault="00667675" w:rsidP="00BF7BFF">
            <w:pPr>
              <w:pStyle w:val="NormalWeb"/>
              <w:spacing w:before="0" w:beforeAutospacing="0" w:after="0" w:afterAutospacing="0" w:line="360" w:lineRule="auto"/>
              <w:ind w:right="49"/>
              <w:contextualSpacing/>
              <w:mirrorIndents/>
              <w:jc w:val="center"/>
              <w:rPr>
                <w:rFonts w:ascii="Arial" w:hAnsi="Arial" w:cs="Arial"/>
                <w:b/>
                <w:bCs/>
                <w:lang w:val="es-ES" w:eastAsia="en-US"/>
              </w:rPr>
            </w:pPr>
            <w:r w:rsidRPr="00795B97">
              <w:rPr>
                <w:rFonts w:ascii="Arial" w:hAnsi="Arial" w:cs="Arial"/>
                <w:b/>
                <w:bCs/>
                <w:lang w:val="es-ES" w:eastAsia="en-US"/>
              </w:rPr>
              <w:t xml:space="preserve">CLAUDIA ELOISA DÍAZ DE LEÓN GONZÁLEZ </w:t>
            </w:r>
          </w:p>
          <w:p w14:paraId="30B61A93" w14:textId="2097FA5C" w:rsidR="00B907C5" w:rsidRDefault="00B907C5" w:rsidP="001F4FE4">
            <w:pPr>
              <w:pStyle w:val="NormalWeb"/>
              <w:spacing w:before="0" w:beforeAutospacing="0" w:after="0" w:afterAutospacing="0" w:line="360" w:lineRule="auto"/>
              <w:ind w:right="49"/>
              <w:contextualSpacing/>
              <w:mirrorIndents/>
              <w:rPr>
                <w:rFonts w:ascii="Arial" w:hAnsi="Arial" w:cs="Arial"/>
                <w:b/>
                <w:bCs/>
                <w:lang w:val="es-ES" w:eastAsia="en-US"/>
              </w:rPr>
            </w:pPr>
          </w:p>
          <w:p w14:paraId="2F76F7ED" w14:textId="75D151E8" w:rsidR="00500D98" w:rsidRPr="00795B97" w:rsidRDefault="00500D98" w:rsidP="001F4FE4">
            <w:pPr>
              <w:pStyle w:val="NormalWeb"/>
              <w:spacing w:before="0" w:beforeAutospacing="0" w:after="0" w:afterAutospacing="0" w:line="360" w:lineRule="auto"/>
              <w:ind w:right="49"/>
              <w:contextualSpacing/>
              <w:mirrorIndents/>
              <w:rPr>
                <w:rFonts w:ascii="Arial" w:hAnsi="Arial" w:cs="Arial"/>
                <w:b/>
                <w:bCs/>
                <w:lang w:val="es-ES" w:eastAsia="en-US"/>
              </w:rPr>
            </w:pPr>
          </w:p>
        </w:tc>
      </w:tr>
      <w:tr w:rsidR="00667675" w:rsidRPr="00795B97" w14:paraId="67E0A0B5" w14:textId="77777777" w:rsidTr="00B907C5">
        <w:trPr>
          <w:trHeight w:val="1437"/>
          <w:jc w:val="center"/>
        </w:trPr>
        <w:tc>
          <w:tcPr>
            <w:tcW w:w="4063" w:type="dxa"/>
          </w:tcPr>
          <w:p w14:paraId="5F3171FC" w14:textId="7D1F8F0B" w:rsidR="00667675" w:rsidRDefault="00667675" w:rsidP="001F4FE4">
            <w:pPr>
              <w:pStyle w:val="NormalWeb"/>
              <w:spacing w:before="0" w:beforeAutospacing="0" w:after="0" w:afterAutospacing="0" w:line="360" w:lineRule="auto"/>
              <w:ind w:right="49"/>
              <w:contextualSpacing/>
              <w:mirrorIndents/>
              <w:jc w:val="center"/>
              <w:rPr>
                <w:rFonts w:ascii="Arial" w:hAnsi="Arial" w:cs="Arial"/>
                <w:b/>
                <w:bCs/>
                <w:lang w:eastAsia="en-US"/>
              </w:rPr>
            </w:pPr>
            <w:r w:rsidRPr="00795B97">
              <w:rPr>
                <w:rFonts w:ascii="Arial" w:hAnsi="Arial" w:cs="Arial"/>
                <w:b/>
                <w:bCs/>
                <w:lang w:eastAsia="en-US"/>
              </w:rPr>
              <w:t>MAGISTRADA</w:t>
            </w:r>
          </w:p>
          <w:p w14:paraId="2E7E8672" w14:textId="4DB37289" w:rsidR="001F4FE4" w:rsidRPr="00795B97" w:rsidRDefault="001F4FE4" w:rsidP="00ED41AE">
            <w:pPr>
              <w:pStyle w:val="NormalWeb"/>
              <w:spacing w:before="0" w:beforeAutospacing="0" w:after="0" w:afterAutospacing="0" w:line="360" w:lineRule="auto"/>
              <w:ind w:right="49"/>
              <w:contextualSpacing/>
              <w:mirrorIndents/>
              <w:rPr>
                <w:rFonts w:ascii="Arial" w:hAnsi="Arial" w:cs="Arial"/>
                <w:b/>
                <w:bCs/>
                <w:lang w:eastAsia="en-US"/>
              </w:rPr>
            </w:pPr>
          </w:p>
          <w:p w14:paraId="06EEC3DB" w14:textId="77777777" w:rsidR="00667675" w:rsidRPr="00795B97" w:rsidRDefault="00667675" w:rsidP="00795B97">
            <w:pPr>
              <w:pStyle w:val="NormalWeb"/>
              <w:spacing w:before="0" w:beforeAutospacing="0" w:after="0" w:afterAutospacing="0" w:line="360" w:lineRule="auto"/>
              <w:ind w:right="49"/>
              <w:contextualSpacing/>
              <w:mirrorIndents/>
              <w:jc w:val="center"/>
              <w:rPr>
                <w:rFonts w:ascii="Arial" w:hAnsi="Arial" w:cs="Arial"/>
                <w:b/>
                <w:bCs/>
                <w:lang w:eastAsia="en-US"/>
              </w:rPr>
            </w:pPr>
            <w:r w:rsidRPr="00795B97">
              <w:rPr>
                <w:rFonts w:ascii="Arial" w:hAnsi="Arial" w:cs="Arial"/>
                <w:b/>
                <w:bCs/>
                <w:lang w:eastAsia="en-US"/>
              </w:rPr>
              <w:t xml:space="preserve">LAURA HORTENSIA </w:t>
            </w:r>
          </w:p>
          <w:p w14:paraId="10DC61A8" w14:textId="0C47979B" w:rsidR="00667675" w:rsidRPr="00795B97" w:rsidRDefault="00667675" w:rsidP="00795B97">
            <w:pPr>
              <w:pStyle w:val="NormalWeb"/>
              <w:spacing w:before="0" w:beforeAutospacing="0" w:after="0" w:afterAutospacing="0" w:line="360" w:lineRule="auto"/>
              <w:ind w:right="49"/>
              <w:contextualSpacing/>
              <w:mirrorIndents/>
              <w:jc w:val="center"/>
              <w:rPr>
                <w:rFonts w:ascii="Arial" w:hAnsi="Arial" w:cs="Arial"/>
                <w:b/>
                <w:bCs/>
                <w:lang w:eastAsia="en-US"/>
              </w:rPr>
            </w:pPr>
            <w:r w:rsidRPr="00795B97">
              <w:rPr>
                <w:rFonts w:ascii="Arial" w:hAnsi="Arial" w:cs="Arial"/>
                <w:b/>
                <w:bCs/>
                <w:lang w:eastAsia="en-US"/>
              </w:rPr>
              <w:t>LLAMAS HERNÁNDE</w:t>
            </w:r>
            <w:r w:rsidR="00A76DFE" w:rsidRPr="00795B97">
              <w:rPr>
                <w:rFonts w:ascii="Arial" w:hAnsi="Arial" w:cs="Arial"/>
                <w:b/>
                <w:bCs/>
                <w:lang w:eastAsia="en-US"/>
              </w:rPr>
              <w:t>Z</w:t>
            </w:r>
          </w:p>
        </w:tc>
        <w:tc>
          <w:tcPr>
            <w:tcW w:w="4112" w:type="dxa"/>
          </w:tcPr>
          <w:p w14:paraId="719B2D3D" w14:textId="38EBF28F" w:rsidR="00667675" w:rsidRPr="00795B97" w:rsidRDefault="00667675" w:rsidP="00795B97">
            <w:pPr>
              <w:pStyle w:val="NormalWeb"/>
              <w:spacing w:before="0" w:beforeAutospacing="0" w:after="0" w:afterAutospacing="0" w:line="360" w:lineRule="auto"/>
              <w:ind w:right="49"/>
              <w:contextualSpacing/>
              <w:mirrorIndents/>
              <w:jc w:val="center"/>
              <w:rPr>
                <w:rFonts w:ascii="Arial" w:hAnsi="Arial" w:cs="Arial"/>
                <w:b/>
                <w:bCs/>
                <w:lang w:eastAsia="en-US"/>
              </w:rPr>
            </w:pPr>
            <w:r w:rsidRPr="00795B97">
              <w:rPr>
                <w:rFonts w:ascii="Arial" w:hAnsi="Arial" w:cs="Arial"/>
                <w:b/>
                <w:bCs/>
                <w:lang w:eastAsia="en-US"/>
              </w:rPr>
              <w:t>MAGISTRADO</w:t>
            </w:r>
          </w:p>
          <w:p w14:paraId="69237ABD" w14:textId="77777777" w:rsidR="00667675" w:rsidRPr="00795B97" w:rsidRDefault="00667675" w:rsidP="00795B97">
            <w:pPr>
              <w:pStyle w:val="NormalWeb"/>
              <w:spacing w:before="0" w:beforeAutospacing="0" w:after="0" w:afterAutospacing="0" w:line="360" w:lineRule="auto"/>
              <w:ind w:right="49"/>
              <w:contextualSpacing/>
              <w:mirrorIndents/>
              <w:jc w:val="center"/>
              <w:rPr>
                <w:rFonts w:ascii="Arial" w:hAnsi="Arial" w:cs="Arial"/>
                <w:b/>
                <w:bCs/>
                <w:lang w:eastAsia="en-US"/>
              </w:rPr>
            </w:pPr>
          </w:p>
          <w:p w14:paraId="5A075F52" w14:textId="19B9651A" w:rsidR="00BF7BFF" w:rsidRPr="00795B97" w:rsidRDefault="00667675" w:rsidP="00BF7BFF">
            <w:pPr>
              <w:pStyle w:val="NormalWeb"/>
              <w:spacing w:before="0" w:beforeAutospacing="0" w:after="0" w:afterAutospacing="0" w:line="360" w:lineRule="auto"/>
              <w:ind w:right="49"/>
              <w:contextualSpacing/>
              <w:mirrorIndents/>
              <w:jc w:val="center"/>
              <w:rPr>
                <w:rFonts w:ascii="Arial" w:hAnsi="Arial" w:cs="Arial"/>
                <w:b/>
                <w:bCs/>
                <w:lang w:eastAsia="en-US"/>
              </w:rPr>
            </w:pPr>
            <w:r w:rsidRPr="00795B97">
              <w:rPr>
                <w:rFonts w:ascii="Arial" w:hAnsi="Arial" w:cs="Arial"/>
                <w:b/>
                <w:bCs/>
                <w:lang w:eastAsia="en-US"/>
              </w:rPr>
              <w:t>HÉCTOR SALVADOR HERNÁNDEZ GALLEGOS</w:t>
            </w:r>
          </w:p>
        </w:tc>
      </w:tr>
      <w:tr w:rsidR="00667675" w:rsidRPr="00795B97" w14:paraId="02C4A8FE" w14:textId="77777777" w:rsidTr="00667675">
        <w:trPr>
          <w:trHeight w:val="853"/>
          <w:jc w:val="center"/>
        </w:trPr>
        <w:tc>
          <w:tcPr>
            <w:tcW w:w="8175" w:type="dxa"/>
            <w:gridSpan w:val="2"/>
          </w:tcPr>
          <w:p w14:paraId="0CD4A49D" w14:textId="3EBF9DC5" w:rsidR="00B907C5" w:rsidRDefault="00B907C5" w:rsidP="00125B30">
            <w:pPr>
              <w:pStyle w:val="NormalWeb"/>
              <w:spacing w:before="0" w:beforeAutospacing="0" w:after="0" w:afterAutospacing="0" w:line="360" w:lineRule="auto"/>
              <w:ind w:right="49"/>
              <w:contextualSpacing/>
              <w:mirrorIndents/>
              <w:rPr>
                <w:rFonts w:ascii="Arial" w:hAnsi="Arial" w:cs="Arial"/>
                <w:b/>
                <w:bCs/>
                <w:lang w:eastAsia="en-US"/>
              </w:rPr>
            </w:pPr>
          </w:p>
          <w:p w14:paraId="3899AE1D" w14:textId="77777777" w:rsidR="00500D98" w:rsidRDefault="00500D98" w:rsidP="00125B30">
            <w:pPr>
              <w:pStyle w:val="NormalWeb"/>
              <w:spacing w:before="0" w:beforeAutospacing="0" w:after="0" w:afterAutospacing="0" w:line="360" w:lineRule="auto"/>
              <w:ind w:right="49"/>
              <w:contextualSpacing/>
              <w:mirrorIndents/>
              <w:rPr>
                <w:rFonts w:ascii="Arial" w:hAnsi="Arial" w:cs="Arial"/>
                <w:b/>
                <w:bCs/>
                <w:lang w:eastAsia="en-US"/>
              </w:rPr>
            </w:pPr>
          </w:p>
          <w:p w14:paraId="2F822A61" w14:textId="3D58A592" w:rsidR="00667675" w:rsidRPr="00795B97" w:rsidRDefault="00667675" w:rsidP="00795B97">
            <w:pPr>
              <w:pStyle w:val="NormalWeb"/>
              <w:spacing w:before="0" w:beforeAutospacing="0" w:after="0" w:afterAutospacing="0" w:line="360" w:lineRule="auto"/>
              <w:ind w:right="49"/>
              <w:contextualSpacing/>
              <w:mirrorIndents/>
              <w:jc w:val="center"/>
              <w:rPr>
                <w:rFonts w:ascii="Arial" w:hAnsi="Arial" w:cs="Arial"/>
                <w:b/>
                <w:bCs/>
                <w:lang w:eastAsia="en-US"/>
              </w:rPr>
            </w:pPr>
            <w:r w:rsidRPr="00795B97">
              <w:rPr>
                <w:rFonts w:ascii="Arial" w:hAnsi="Arial" w:cs="Arial"/>
                <w:b/>
                <w:bCs/>
                <w:lang w:eastAsia="en-US"/>
              </w:rPr>
              <w:t xml:space="preserve">SECRETARIO GENERAL DE ACUERDOS </w:t>
            </w:r>
          </w:p>
          <w:p w14:paraId="2FA090EC" w14:textId="77777777" w:rsidR="00667675" w:rsidRPr="00795B97" w:rsidRDefault="00667675" w:rsidP="00795B97">
            <w:pPr>
              <w:pStyle w:val="NormalWeb"/>
              <w:spacing w:before="0" w:beforeAutospacing="0" w:after="0" w:afterAutospacing="0" w:line="360" w:lineRule="auto"/>
              <w:ind w:right="49"/>
              <w:contextualSpacing/>
              <w:mirrorIndents/>
              <w:jc w:val="center"/>
              <w:rPr>
                <w:rFonts w:ascii="Arial" w:hAnsi="Arial" w:cs="Arial"/>
                <w:b/>
                <w:bCs/>
                <w:lang w:val="es-ES" w:eastAsia="en-US"/>
              </w:rPr>
            </w:pPr>
          </w:p>
          <w:p w14:paraId="3DE484BA" w14:textId="77777777" w:rsidR="00667675" w:rsidRPr="00795B97" w:rsidRDefault="00667675" w:rsidP="00795B97">
            <w:pPr>
              <w:pStyle w:val="NormalWeb"/>
              <w:spacing w:before="0" w:beforeAutospacing="0" w:after="0" w:afterAutospacing="0" w:line="360" w:lineRule="auto"/>
              <w:ind w:right="49"/>
              <w:contextualSpacing/>
              <w:mirrorIndents/>
              <w:jc w:val="center"/>
              <w:rPr>
                <w:rFonts w:ascii="Arial" w:hAnsi="Arial" w:cs="Arial"/>
                <w:b/>
                <w:bCs/>
                <w:lang w:val="es-ES" w:eastAsia="en-US"/>
              </w:rPr>
            </w:pPr>
            <w:r w:rsidRPr="00795B97">
              <w:rPr>
                <w:rFonts w:ascii="Arial" w:hAnsi="Arial" w:cs="Arial"/>
                <w:b/>
                <w:bCs/>
                <w:lang w:val="es-ES" w:eastAsia="en-US"/>
              </w:rPr>
              <w:t>JESÚS OCIEL BAENA SAUCEDO</w:t>
            </w:r>
          </w:p>
        </w:tc>
      </w:tr>
    </w:tbl>
    <w:p w14:paraId="358BE55D" w14:textId="77777777" w:rsidR="00BE2DB7" w:rsidRPr="00795B97" w:rsidRDefault="00BE2DB7" w:rsidP="00795B97">
      <w:pPr>
        <w:spacing w:line="360" w:lineRule="auto"/>
        <w:rPr>
          <w:rFonts w:ascii="Arial" w:hAnsi="Arial" w:cs="Arial"/>
          <w:sz w:val="24"/>
          <w:szCs w:val="24"/>
        </w:rPr>
      </w:pPr>
    </w:p>
    <w:sectPr w:rsidR="00BE2DB7" w:rsidRPr="00795B97" w:rsidSect="00B4455F">
      <w:headerReference w:type="even" r:id="rId8"/>
      <w:headerReference w:type="default" r:id="rId9"/>
      <w:footerReference w:type="even" r:id="rId10"/>
      <w:footerReference w:type="default" r:id="rId11"/>
      <w:headerReference w:type="first" r:id="rId12"/>
      <w:footerReference w:type="first" r:id="rId13"/>
      <w:pgSz w:w="12240" w:h="20160" w:code="5"/>
      <w:pgMar w:top="2268" w:right="113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2275A" w14:textId="77777777" w:rsidR="00151BCD" w:rsidRDefault="00151BCD" w:rsidP="0018649D">
      <w:r>
        <w:separator/>
      </w:r>
    </w:p>
  </w:endnote>
  <w:endnote w:type="continuationSeparator" w:id="0">
    <w:p w14:paraId="4F541D8E" w14:textId="77777777" w:rsidR="00151BCD" w:rsidRDefault="00151BCD" w:rsidP="0018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753A8" w14:textId="77777777" w:rsidR="000C39D2" w:rsidRDefault="000C39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FD1CF" w14:textId="77777777" w:rsidR="000C39D2" w:rsidRDefault="000C39D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07BA" w14:textId="77777777" w:rsidR="000C39D2" w:rsidRDefault="000C39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A2695" w14:textId="77777777" w:rsidR="00151BCD" w:rsidRDefault="00151BCD" w:rsidP="0018649D">
      <w:r>
        <w:separator/>
      </w:r>
    </w:p>
  </w:footnote>
  <w:footnote w:type="continuationSeparator" w:id="0">
    <w:p w14:paraId="293DBDDA" w14:textId="77777777" w:rsidR="00151BCD" w:rsidRDefault="00151BCD" w:rsidP="0018649D">
      <w:r>
        <w:continuationSeparator/>
      </w:r>
    </w:p>
  </w:footnote>
  <w:footnote w:id="1">
    <w:p w14:paraId="1781C268" w14:textId="77A3AF5E" w:rsidR="00EF43CA" w:rsidRPr="00272771" w:rsidRDefault="00EF43CA">
      <w:pPr>
        <w:pStyle w:val="Textonotapie"/>
        <w:rPr>
          <w:rFonts w:ascii="Arial" w:hAnsi="Arial" w:cs="Arial"/>
        </w:rPr>
      </w:pPr>
      <w:r w:rsidRPr="00272771">
        <w:rPr>
          <w:rStyle w:val="Refdenotaalpie"/>
          <w:rFonts w:ascii="Arial" w:hAnsi="Arial" w:cs="Arial"/>
        </w:rPr>
        <w:footnoteRef/>
      </w:r>
      <w:r w:rsidRPr="00272771">
        <w:rPr>
          <w:rFonts w:ascii="Arial" w:hAnsi="Arial" w:cs="Arial"/>
        </w:rPr>
        <w:t xml:space="preserve"> Encargado de despacho de la secretaría de estudio de la ponencia II.</w:t>
      </w:r>
    </w:p>
  </w:footnote>
  <w:footnote w:id="2">
    <w:p w14:paraId="38BE50C7" w14:textId="77777777" w:rsidR="00EF43CA" w:rsidRPr="00C0056D" w:rsidRDefault="00EF43CA" w:rsidP="00054D63">
      <w:pPr>
        <w:pStyle w:val="Textonotapie"/>
        <w:rPr>
          <w:rFonts w:ascii="Arial" w:hAnsi="Arial" w:cs="Arial"/>
        </w:rPr>
      </w:pPr>
      <w:r w:rsidRPr="00C0056D">
        <w:rPr>
          <w:rStyle w:val="Refdenotaalpie"/>
          <w:rFonts w:ascii="Arial" w:hAnsi="Arial" w:cs="Arial"/>
        </w:rPr>
        <w:footnoteRef/>
      </w:r>
      <w:r w:rsidRPr="00C0056D">
        <w:rPr>
          <w:rFonts w:ascii="Arial" w:hAnsi="Arial" w:cs="Arial"/>
        </w:rPr>
        <w:t xml:space="preserve"> Todas las fechas corresponden al 2021, salvo precisión en contrario.</w:t>
      </w:r>
    </w:p>
  </w:footnote>
  <w:footnote w:id="3">
    <w:p w14:paraId="388509FB" w14:textId="77777777" w:rsidR="00EF43CA" w:rsidRPr="00257B1C" w:rsidRDefault="00EF43CA" w:rsidP="00257B1C">
      <w:pPr>
        <w:ind w:right="51"/>
        <w:jc w:val="both"/>
        <w:rPr>
          <w:rFonts w:ascii="Arial" w:hAnsi="Arial" w:cs="Arial"/>
          <w:bCs/>
        </w:rPr>
      </w:pPr>
      <w:r w:rsidRPr="00257B1C">
        <w:rPr>
          <w:rStyle w:val="Refdenotaalpie"/>
          <w:rFonts w:ascii="Arial" w:hAnsi="Arial" w:cs="Arial"/>
        </w:rPr>
        <w:footnoteRef/>
      </w:r>
      <w:r w:rsidRPr="00257B1C">
        <w:rPr>
          <w:rFonts w:ascii="Arial" w:hAnsi="Arial" w:cs="Arial"/>
        </w:rPr>
        <w:t xml:space="preserve"> Artículo 1</w:t>
      </w:r>
      <w:r w:rsidRPr="00257B1C">
        <w:rPr>
          <w:rFonts w:ascii="Arial" w:hAnsi="Arial" w:cs="Arial"/>
          <w:b/>
          <w:bCs/>
        </w:rPr>
        <w:t>°.</w:t>
      </w:r>
      <w:r w:rsidRPr="00257B1C">
        <w:rPr>
          <w:rFonts w:ascii="Arial" w:hAnsi="Arial" w:cs="Arial"/>
          <w:bCs/>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62DCB08F" w14:textId="77777777" w:rsidR="00EF43CA" w:rsidRPr="00257B1C" w:rsidRDefault="00EF43CA" w:rsidP="00257B1C">
      <w:pPr>
        <w:ind w:right="51"/>
        <w:jc w:val="both"/>
        <w:rPr>
          <w:rFonts w:ascii="Arial" w:hAnsi="Arial" w:cs="Arial"/>
          <w:bCs/>
        </w:rPr>
      </w:pPr>
      <w:r w:rsidRPr="00257B1C">
        <w:rPr>
          <w:rFonts w:ascii="Arial" w:hAnsi="Arial" w:cs="Arial"/>
          <w:bCs/>
        </w:rPr>
        <w:t>Las normas relativas a los derechos humanos se interpretarán de conformidad con esta Constitución y con los tratados internacionales de la materia favoreciendo en todo tiempo a las personas la protección más amplia.</w:t>
      </w:r>
    </w:p>
    <w:p w14:paraId="476E37A3" w14:textId="77777777" w:rsidR="00EF43CA" w:rsidRPr="00257B1C" w:rsidRDefault="00EF43CA" w:rsidP="00257B1C">
      <w:pPr>
        <w:ind w:right="51"/>
        <w:jc w:val="both"/>
        <w:rPr>
          <w:rFonts w:ascii="Arial" w:hAnsi="Arial" w:cs="Arial"/>
          <w:bCs/>
        </w:rPr>
      </w:pPr>
      <w:r w:rsidRPr="00257B1C">
        <w:rPr>
          <w:rFonts w:ascii="Arial" w:hAnsi="Arial" w:cs="Arial"/>
          <w:bC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6A595250" w14:textId="01EB4DA6" w:rsidR="00EF43CA" w:rsidRPr="00257B1C" w:rsidRDefault="00EF43CA" w:rsidP="00257B1C">
      <w:pPr>
        <w:ind w:right="51"/>
        <w:jc w:val="both"/>
        <w:rPr>
          <w:rFonts w:ascii="Arial" w:hAnsi="Arial" w:cs="Arial"/>
        </w:rPr>
      </w:pPr>
      <w:r w:rsidRPr="00257B1C">
        <w:rPr>
          <w:rFonts w:ascii="Arial" w:hAnsi="Arial" w:cs="Arial"/>
          <w:bCs/>
        </w:rPr>
        <w:t>(…)</w:t>
      </w:r>
    </w:p>
  </w:footnote>
  <w:footnote w:id="4">
    <w:p w14:paraId="7FB7A8B1" w14:textId="77777777" w:rsidR="00EF43CA" w:rsidRPr="00257B1C" w:rsidRDefault="00EF43CA" w:rsidP="00257B1C">
      <w:pPr>
        <w:pStyle w:val="Textonotapie"/>
        <w:jc w:val="both"/>
        <w:rPr>
          <w:rFonts w:ascii="Arial" w:hAnsi="Arial" w:cs="Arial"/>
        </w:rPr>
      </w:pPr>
      <w:r w:rsidRPr="00257B1C">
        <w:rPr>
          <w:rStyle w:val="Refdenotaalpie"/>
          <w:rFonts w:ascii="Arial" w:hAnsi="Arial" w:cs="Arial"/>
        </w:rPr>
        <w:footnoteRef/>
      </w:r>
      <w:r w:rsidRPr="00257B1C">
        <w:rPr>
          <w:rFonts w:ascii="Arial" w:hAnsi="Arial" w:cs="Arial"/>
        </w:rPr>
        <w:t xml:space="preserve"> Opinión Consultiva OC-24/17, de 24 de noviembre de 2017, solicitada por la República de Costa Rica. Identidad de género, e igualdad y no discriminación a parejas del mismo sexo. Disponible en la URL: </w:t>
      </w:r>
      <w:hyperlink r:id="rId1" w:history="1">
        <w:r w:rsidRPr="00257B1C">
          <w:rPr>
            <w:rStyle w:val="Hipervnculo"/>
            <w:rFonts w:ascii="Arial" w:hAnsi="Arial" w:cs="Arial"/>
          </w:rPr>
          <w:t>https://www.corteidh.or.cr/docs/opiniones/seriea_24_esp.pdf</w:t>
        </w:r>
      </w:hyperlink>
      <w:r w:rsidRPr="00257B1C">
        <w:rPr>
          <w:rFonts w:ascii="Arial" w:hAnsi="Arial" w:cs="Arial"/>
          <w:sz w:val="16"/>
          <w:szCs w:val="16"/>
        </w:rPr>
        <w:t xml:space="preserve"> </w:t>
      </w:r>
    </w:p>
  </w:footnote>
  <w:footnote w:id="5">
    <w:p w14:paraId="43CF8224" w14:textId="331D6C54" w:rsidR="00EF43CA" w:rsidRPr="007B2DCB" w:rsidRDefault="00EF43CA" w:rsidP="00257B1C">
      <w:pPr>
        <w:pStyle w:val="Textonotapie"/>
        <w:jc w:val="both"/>
        <w:rPr>
          <w:rFonts w:ascii="Arial" w:hAnsi="Arial" w:cs="Arial"/>
        </w:rPr>
      </w:pPr>
      <w:r w:rsidRPr="00257B1C">
        <w:rPr>
          <w:rStyle w:val="Refdenotaalpie"/>
          <w:rFonts w:ascii="Arial" w:hAnsi="Arial" w:cs="Arial"/>
        </w:rPr>
        <w:footnoteRef/>
      </w:r>
      <w:r w:rsidRPr="00257B1C">
        <w:rPr>
          <w:rFonts w:ascii="Arial" w:hAnsi="Arial" w:cs="Arial"/>
        </w:rPr>
        <w:t xml:space="preserve"> Protocolo de actuación para quienes imparten justicia en casos que involucren la orientación sexual o la identidad de género.</w:t>
      </w:r>
      <w:r>
        <w:rPr>
          <w:rFonts w:ascii="Arial" w:hAnsi="Arial" w:cs="Arial"/>
        </w:rPr>
        <w:t xml:space="preserve"> Disponible para su consulta en la URL: </w:t>
      </w:r>
      <w:hyperlink r:id="rId2" w:history="1">
        <w:r w:rsidRPr="005C0FDD">
          <w:rPr>
            <w:rStyle w:val="Hipervnculo"/>
            <w:rFonts w:ascii="Arial" w:hAnsi="Arial" w:cs="Arial"/>
          </w:rPr>
          <w:t>https://www.scjn.gob.mx/registro/sites/default/files/page/2020-02/protocolo_orientacion_sexual.pdf</w:t>
        </w:r>
      </w:hyperlink>
      <w:r>
        <w:rPr>
          <w:rFonts w:ascii="Arial" w:hAnsi="Arial" w:cs="Arial"/>
        </w:rPr>
        <w:t xml:space="preserve"> </w:t>
      </w:r>
    </w:p>
  </w:footnote>
  <w:footnote w:id="6">
    <w:p w14:paraId="0AC07207" w14:textId="547560A6" w:rsidR="00EF43CA" w:rsidRDefault="00EF43CA" w:rsidP="00D51A72">
      <w:pPr>
        <w:pStyle w:val="Textonotapie"/>
        <w:jc w:val="both"/>
        <w:rPr>
          <w:rFonts w:ascii="Arial" w:hAnsi="Arial" w:cs="Arial"/>
        </w:rPr>
      </w:pPr>
      <w:r w:rsidRPr="009F3C13">
        <w:rPr>
          <w:rStyle w:val="Refdenotaalpie"/>
          <w:rFonts w:ascii="Arial" w:hAnsi="Arial" w:cs="Arial"/>
        </w:rPr>
        <w:footnoteRef/>
      </w:r>
      <w:r w:rsidRPr="009F3C13">
        <w:rPr>
          <w:rFonts w:ascii="Arial" w:hAnsi="Arial" w:cs="Arial"/>
        </w:rPr>
        <w:t xml:space="preserve"> Artículo 2. Para los efectos de esta Ley se entenderá por: </w:t>
      </w:r>
    </w:p>
    <w:p w14:paraId="36099DF7" w14:textId="474D1F8A" w:rsidR="00EF43CA" w:rsidRPr="009F3C13" w:rsidRDefault="00EF43CA" w:rsidP="00D51A72">
      <w:pPr>
        <w:pStyle w:val="Textonotapie"/>
        <w:jc w:val="both"/>
        <w:rPr>
          <w:rFonts w:ascii="Arial" w:hAnsi="Arial" w:cs="Arial"/>
        </w:rPr>
      </w:pPr>
      <w:r>
        <w:rPr>
          <w:rFonts w:ascii="Arial" w:hAnsi="Arial" w:cs="Arial"/>
        </w:rPr>
        <w:t>(…)</w:t>
      </w:r>
    </w:p>
    <w:p w14:paraId="13E32CF2" w14:textId="77777777" w:rsidR="00EF43CA" w:rsidRPr="009F3C13" w:rsidRDefault="00EF43CA" w:rsidP="00D51A72">
      <w:pPr>
        <w:pStyle w:val="Textonotapie"/>
        <w:jc w:val="both"/>
        <w:rPr>
          <w:rFonts w:ascii="Arial" w:hAnsi="Arial" w:cs="Arial"/>
        </w:rPr>
      </w:pPr>
      <w:r w:rsidRPr="009F3C13">
        <w:rPr>
          <w:rFonts w:ascii="Arial" w:hAnsi="Arial" w:cs="Arial"/>
        </w:rPr>
        <w:t>IX. Discapacidad. Es la consecuencia de la presencia de una deficiencia o limitación en una persona, que al interactuar con las barreras que le impone el entorno social, pueda impedir su inclusión plena y efectiva en la sociedad, en igualdad de condiciones con los demás;</w:t>
      </w:r>
    </w:p>
  </w:footnote>
  <w:footnote w:id="7">
    <w:p w14:paraId="74EF7AB2" w14:textId="65C9DCEE" w:rsidR="00EF43CA" w:rsidRPr="002A2EEF" w:rsidRDefault="00EF43CA" w:rsidP="009F3C13">
      <w:pPr>
        <w:pStyle w:val="Textonotapie"/>
        <w:jc w:val="both"/>
        <w:rPr>
          <w:rFonts w:ascii="Arial" w:hAnsi="Arial" w:cs="Arial"/>
        </w:rPr>
      </w:pPr>
      <w:r w:rsidRPr="002A2EEF">
        <w:rPr>
          <w:rStyle w:val="Refdenotaalpie"/>
          <w:rFonts w:ascii="Arial" w:hAnsi="Arial" w:cs="Arial"/>
        </w:rPr>
        <w:footnoteRef/>
      </w:r>
      <w:r w:rsidRPr="002A2EEF">
        <w:rPr>
          <w:rFonts w:ascii="Arial" w:hAnsi="Arial" w:cs="Arial"/>
        </w:rPr>
        <w:t xml:space="preserve"> SCJN. Tesis 1ª./J. 126/2017 (10ª). Rubro: DERECHO HUMANO A LA IGUALDAD JURÍDICA. DIFERENCIAS ENTRE SUS MODALIDADES CONCEPTUALES. Disponible para su consulta en la URL: </w:t>
      </w:r>
      <w:hyperlink r:id="rId3" w:history="1">
        <w:r w:rsidRPr="002A2EEF">
          <w:rPr>
            <w:rStyle w:val="Hipervnculo"/>
            <w:rFonts w:ascii="Arial" w:hAnsi="Arial" w:cs="Arial"/>
          </w:rPr>
          <w:t>https://sjf2.scjn.gob.mx/detalle/tesis/2015678</w:t>
        </w:r>
      </w:hyperlink>
      <w:r w:rsidRPr="002A2EEF">
        <w:rPr>
          <w:rFonts w:ascii="Arial" w:hAnsi="Arial" w:cs="Arial"/>
        </w:rPr>
        <w:t xml:space="preserve"> </w:t>
      </w:r>
    </w:p>
  </w:footnote>
  <w:footnote w:id="8">
    <w:p w14:paraId="20CABDDD" w14:textId="77777777" w:rsidR="00EF43CA" w:rsidRPr="00257B1C" w:rsidRDefault="00EF43CA" w:rsidP="009F3C13">
      <w:pPr>
        <w:pStyle w:val="Textonotapie"/>
        <w:rPr>
          <w:rFonts w:ascii="Arial" w:hAnsi="Arial" w:cs="Arial"/>
        </w:rPr>
      </w:pPr>
      <w:r w:rsidRPr="00257B1C">
        <w:rPr>
          <w:rStyle w:val="Refdenotaalpie"/>
          <w:rFonts w:ascii="Arial" w:hAnsi="Arial" w:cs="Arial"/>
        </w:rPr>
        <w:footnoteRef/>
      </w:r>
      <w:r w:rsidRPr="00257B1C">
        <w:rPr>
          <w:rFonts w:ascii="Arial" w:hAnsi="Arial" w:cs="Arial"/>
        </w:rPr>
        <w:t xml:space="preserve"> SUP-JDC-1080/2013 Y ACUMULADOS</w:t>
      </w:r>
    </w:p>
  </w:footnote>
  <w:footnote w:id="9">
    <w:p w14:paraId="62249F3C" w14:textId="77777777" w:rsidR="00E83713" w:rsidRPr="00522227" w:rsidRDefault="00E83713" w:rsidP="00E83713">
      <w:pPr>
        <w:pStyle w:val="Textonotapie"/>
        <w:jc w:val="both"/>
        <w:rPr>
          <w:rFonts w:ascii="Arial" w:hAnsi="Arial" w:cs="Arial"/>
        </w:rPr>
      </w:pPr>
      <w:r w:rsidRPr="00522227">
        <w:rPr>
          <w:rStyle w:val="Refdenotaalpie"/>
          <w:rFonts w:ascii="Arial" w:hAnsi="Arial" w:cs="Arial"/>
        </w:rPr>
        <w:footnoteRef/>
      </w:r>
      <w:r w:rsidRPr="00522227">
        <w:rPr>
          <w:rFonts w:ascii="Arial" w:hAnsi="Arial" w:cs="Arial"/>
        </w:rPr>
        <w:t xml:space="preserve"> Art. 41.-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14:paraId="31FDB5E9" w14:textId="77777777" w:rsidR="00E83713" w:rsidRPr="00522227" w:rsidRDefault="00E83713" w:rsidP="00E83713">
      <w:pPr>
        <w:pStyle w:val="Textonotapie"/>
        <w:jc w:val="both"/>
        <w:rPr>
          <w:rFonts w:ascii="Arial" w:hAnsi="Arial" w:cs="Arial"/>
        </w:rPr>
      </w:pPr>
      <w:r w:rsidRPr="00522227">
        <w:rPr>
          <w:rFonts w:ascii="Arial" w:hAnsi="Arial" w:cs="Arial"/>
        </w:rPr>
        <w:t>(…)</w:t>
      </w:r>
    </w:p>
    <w:p w14:paraId="6D3881CF" w14:textId="77777777" w:rsidR="00E83713" w:rsidRPr="00522227" w:rsidRDefault="00E83713" w:rsidP="00E83713">
      <w:pPr>
        <w:pStyle w:val="Textonotapie"/>
        <w:jc w:val="both"/>
        <w:rPr>
          <w:rFonts w:ascii="Arial" w:hAnsi="Arial" w:cs="Arial"/>
        </w:rPr>
      </w:pPr>
      <w:r w:rsidRPr="00522227">
        <w:rPr>
          <w:rFonts w:ascii="Arial" w:hAnsi="Arial" w:cs="Arial"/>
        </w:rPr>
        <w:t>III. La organización de las elecciones federales es una función estatal que se realiza a través de un organismo público autónomo denominado Instituto Federal Electoral, dotado de personalidad jurídica y patrimonio propios, en cuya integración participan el Poder Legislativo de la Unión, los partidos políticos nacionales y los ciudadanos, en los términos que ordene la ley. En el ejercicio de esa función estatal, la certeza, legalidad, independencia, imparcialidad y objetividad serán principios rectores.</w:t>
      </w:r>
    </w:p>
  </w:footnote>
  <w:footnote w:id="10">
    <w:p w14:paraId="2BD8DE0F" w14:textId="77777777" w:rsidR="00E83713" w:rsidRDefault="00E83713" w:rsidP="00E83713">
      <w:pPr>
        <w:pStyle w:val="Textonotapie"/>
        <w:jc w:val="both"/>
      </w:pPr>
      <w:r w:rsidRPr="00522227">
        <w:rPr>
          <w:rStyle w:val="Refdenotaalpie"/>
          <w:rFonts w:ascii="Arial" w:hAnsi="Arial" w:cs="Arial"/>
        </w:rPr>
        <w:footnoteRef/>
      </w:r>
      <w:r w:rsidRPr="00522227">
        <w:rPr>
          <w:rFonts w:ascii="Arial" w:hAnsi="Arial" w:cs="Arial"/>
        </w:rPr>
        <w:t xml:space="preserve"> Jurisprudencia </w:t>
      </w:r>
      <w:r w:rsidRPr="00522227">
        <w:rPr>
          <w:rFonts w:ascii="Arial" w:hAnsi="Arial" w:cs="Arial"/>
          <w:color w:val="212529"/>
          <w:shd w:val="clear" w:color="auto" w:fill="FFFFFF"/>
        </w:rPr>
        <w:t xml:space="preserve">P./J. 98/2006, de rubro: CERTEZA EN MATERIA ELECTORAL. EXCEPCIÓN AL PRINCIPIO RELATIVO EN RELACIÓN CON LA MODIFICACIÓN A LAS LEYES QUE RIGEN EL PROCESO UNA VEZ QUE HA INICIADO. Disponible para su consulta en la URL: </w:t>
      </w:r>
      <w:hyperlink r:id="rId4" w:history="1">
        <w:r w:rsidRPr="00522227">
          <w:rPr>
            <w:rStyle w:val="Hipervnculo"/>
            <w:rFonts w:ascii="Arial" w:hAnsi="Arial" w:cs="Arial"/>
            <w:shd w:val="clear" w:color="auto" w:fill="FFFFFF"/>
          </w:rPr>
          <w:t>https://sjf2.scjn.gob.mx/detalle/tesis/174536</w:t>
        </w:r>
      </w:hyperlink>
      <w:r>
        <w:rPr>
          <w:rFonts w:ascii="Calibri" w:hAnsi="Calibri"/>
          <w:color w:val="212529"/>
          <w:sz w:val="26"/>
          <w:szCs w:val="26"/>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0184" w14:textId="659744C4" w:rsidR="000C39D2" w:rsidRDefault="00151BCD">
    <w:pPr>
      <w:pStyle w:val="Encabezado"/>
    </w:pPr>
    <w:r>
      <w:rPr>
        <w:noProof/>
      </w:rPr>
      <w:pict w14:anchorId="5F9155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282657" o:spid="_x0000_s2050" type="#_x0000_t136" style="position:absolute;margin-left:0;margin-top:0;width:591.9pt;height:91.05pt;rotation:315;z-index:-251652096;mso-position-horizontal:center;mso-position-horizontal-relative:margin;mso-position-vertical:center;mso-position-vertical-relative:margin" o:allowincell="f" fillcolor="silver" stroked="f">
          <v:fill opacity=".5"/>
          <v:textpath style="font-family:&quot;Times New Roman&quot;;font-size:1pt" string="Pä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B272F" w14:textId="2E631420" w:rsidR="00EF43CA" w:rsidRDefault="00151BCD">
    <w:pPr>
      <w:spacing w:line="200" w:lineRule="exact"/>
    </w:pPr>
    <w:r>
      <w:rPr>
        <w:noProof/>
      </w:rPr>
      <w:pict w14:anchorId="381590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282658" o:spid="_x0000_s2051" type="#_x0000_t136" style="position:absolute;margin-left:0;margin-top:0;width:591.9pt;height:91.05pt;rotation:315;z-index:-251650048;mso-position-horizontal:center;mso-position-horizontal-relative:margin;mso-position-vertical:center;mso-position-vertical-relative:margin" o:allowincell="f" fillcolor="silver" stroked="f">
          <v:fill opacity=".5"/>
          <v:textpath style="font-family:&quot;Times New Roman&quot;;font-size:1pt" string="Pära consulta"/>
          <w10:wrap anchorx="margin" anchory="margin"/>
        </v:shape>
      </w:pict>
    </w:r>
    <w:sdt>
      <w:sdtPr>
        <w:id w:val="6255722"/>
        <w:docPartObj>
          <w:docPartGallery w:val="Page Numbers (Margins)"/>
          <w:docPartUnique/>
        </w:docPartObj>
      </w:sdtPr>
      <w:sdtEndPr/>
      <w:sdtContent>
        <w:r w:rsidR="00EF43CA">
          <w:rPr>
            <w:noProof/>
            <w:lang w:eastAsia="es-MX"/>
          </w:rPr>
          <mc:AlternateContent>
            <mc:Choice Requires="wps">
              <w:drawing>
                <wp:anchor distT="0" distB="0" distL="114300" distR="114300" simplePos="0" relativeHeight="251660288" behindDoc="0" locked="0" layoutInCell="0" allowOverlap="1" wp14:anchorId="35CCE596" wp14:editId="10908AE1">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AA94" w14:textId="77777777" w:rsidR="00EF43CA" w:rsidRDefault="00EF43CA">
                              <w:pPr>
                                <w:pBdr>
                                  <w:bottom w:val="single" w:sz="4" w:space="1" w:color="auto"/>
                                </w:pBdr>
                              </w:pPr>
                              <w:r>
                                <w:fldChar w:fldCharType="begin"/>
                              </w:r>
                              <w:r>
                                <w:instrText>PAGE   \* MERGEFORMAT</w:instrText>
                              </w:r>
                              <w:r>
                                <w:fldChar w:fldCharType="separate"/>
                              </w:r>
                              <w:r w:rsidRPr="004A169A">
                                <w:rPr>
                                  <w:noProof/>
                                  <w:lang w:val="es-ES"/>
                                </w:rPr>
                                <w:t>20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5CCE596" id="Rectángulo 4"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gCAIAAOc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CxGeSAIAgAA5wMAAA4A&#10;AAAAAAAAAAAAAAAALgIAAGRycy9lMm9Eb2MueG1sUEsBAi0AFAAGAAgAAAAhAHGmhoPcAAAABAEA&#10;AA8AAAAAAAAAAAAAAAAAYgQAAGRycy9kb3ducmV2LnhtbFBLBQYAAAAABAAEAPMAAABrBQAAAAA=&#10;" o:allowincell="f" stroked="f">
                  <v:textbox>
                    <w:txbxContent>
                      <w:p w14:paraId="2F98AA94" w14:textId="77777777" w:rsidR="00EF43CA" w:rsidRDefault="00EF43CA">
                        <w:pPr>
                          <w:pBdr>
                            <w:bottom w:val="single" w:sz="4" w:space="1" w:color="auto"/>
                          </w:pBdr>
                        </w:pPr>
                        <w:r>
                          <w:fldChar w:fldCharType="begin"/>
                        </w:r>
                        <w:r>
                          <w:instrText>PAGE   \* MERGEFORMAT</w:instrText>
                        </w:r>
                        <w:r>
                          <w:fldChar w:fldCharType="separate"/>
                        </w:r>
                        <w:r w:rsidRPr="004A169A">
                          <w:rPr>
                            <w:noProof/>
                            <w:lang w:val="es-ES"/>
                          </w:rPr>
                          <w:t>20</w:t>
                        </w:r>
                        <w:r>
                          <w:fldChar w:fldCharType="end"/>
                        </w:r>
                      </w:p>
                    </w:txbxContent>
                  </v:textbox>
                  <w10:wrap anchorx="margin" anchory="margin"/>
                </v:rect>
              </w:pict>
            </mc:Fallback>
          </mc:AlternateContent>
        </w:r>
      </w:sdtContent>
    </w:sdt>
  </w:p>
  <w:p w14:paraId="333B5074" w14:textId="77777777" w:rsidR="00EF43CA" w:rsidRDefault="00EF43CA">
    <w:pPr>
      <w:spacing w:line="200" w:lineRule="exact"/>
    </w:pPr>
  </w:p>
  <w:p w14:paraId="211C8133" w14:textId="77777777" w:rsidR="00EF43CA" w:rsidRDefault="00EF43CA">
    <w:pPr>
      <w:spacing w:line="200" w:lineRule="exact"/>
    </w:pPr>
  </w:p>
  <w:p w14:paraId="43C56F01" w14:textId="77777777" w:rsidR="00EF43CA" w:rsidRDefault="00EF43CA">
    <w:pPr>
      <w:spacing w:line="200" w:lineRule="exact"/>
    </w:pPr>
  </w:p>
  <w:p w14:paraId="2734DE85" w14:textId="77777777" w:rsidR="00EF43CA" w:rsidRDefault="00EF43CA">
    <w:pPr>
      <w:spacing w:line="200" w:lineRule="exact"/>
    </w:pPr>
  </w:p>
  <w:p w14:paraId="44EBB386" w14:textId="77777777" w:rsidR="00EF43CA" w:rsidRDefault="00EF43CA">
    <w:pPr>
      <w:spacing w:line="200" w:lineRule="exact"/>
    </w:pPr>
  </w:p>
  <w:p w14:paraId="06EF5D80" w14:textId="77777777" w:rsidR="00EF43CA" w:rsidRDefault="00EF43CA">
    <w:pPr>
      <w:spacing w:line="200" w:lineRule="exact"/>
    </w:pPr>
  </w:p>
  <w:p w14:paraId="3E4764AC" w14:textId="77777777" w:rsidR="00EF43CA" w:rsidRDefault="00EF43CA">
    <w:pPr>
      <w:spacing w:line="200" w:lineRule="exact"/>
    </w:pPr>
  </w:p>
  <w:p w14:paraId="6BA5FB9B" w14:textId="77777777" w:rsidR="00EF43CA" w:rsidRDefault="00EF43CA">
    <w:pPr>
      <w:spacing w:line="200" w:lineRule="exact"/>
    </w:pPr>
  </w:p>
  <w:p w14:paraId="1205108D" w14:textId="53EDFA3E" w:rsidR="00EF43CA" w:rsidRDefault="00EF43CA">
    <w:pPr>
      <w:spacing w:line="200" w:lineRule="exact"/>
    </w:pPr>
    <w:r>
      <w:rPr>
        <w:noProof/>
        <w:lang w:eastAsia="es-MX"/>
      </w:rPr>
      <w:drawing>
        <wp:anchor distT="0" distB="0" distL="114300" distR="114300" simplePos="0" relativeHeight="251659264" behindDoc="1" locked="0" layoutInCell="1" allowOverlap="1" wp14:anchorId="142C95FC" wp14:editId="0D829986">
          <wp:simplePos x="0" y="0"/>
          <wp:positionH relativeFrom="page">
            <wp:posOffset>708660</wp:posOffset>
          </wp:positionH>
          <wp:positionV relativeFrom="page">
            <wp:posOffset>174625</wp:posOffset>
          </wp:positionV>
          <wp:extent cx="1179830" cy="1404620"/>
          <wp:effectExtent l="0" t="0" r="1270"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7BF09" w14:textId="7C84D6FC" w:rsidR="000C39D2" w:rsidRDefault="00151BCD">
    <w:pPr>
      <w:pStyle w:val="Encabezado"/>
    </w:pPr>
    <w:r>
      <w:rPr>
        <w:noProof/>
      </w:rPr>
      <w:pict w14:anchorId="419141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282656" o:spid="_x0000_s2049" type="#_x0000_t136" style="position:absolute;margin-left:0;margin-top:0;width:591.9pt;height:91.05pt;rotation:315;z-index:-251654144;mso-position-horizontal:center;mso-position-horizontal-relative:margin;mso-position-vertical:center;mso-position-vertical-relative:margin" o:allowincell="f" fillcolor="silver" stroked="f">
          <v:fill opacity=".5"/>
          <v:textpath style="font-family:&quot;Times New Roman&quot;;font-size:1pt" string="Pä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4FA"/>
    <w:multiLevelType w:val="hybridMultilevel"/>
    <w:tmpl w:val="9B50C68C"/>
    <w:lvl w:ilvl="0" w:tplc="5B680D94">
      <w:start w:val="1"/>
      <w:numFmt w:val="lowerRoman"/>
      <w:lvlText w:val="%1."/>
      <w:lvlJc w:val="right"/>
      <w:pPr>
        <w:ind w:left="1080" w:hanging="720"/>
      </w:pPr>
      <w:rPr>
        <w:rFonts w:hint="default"/>
        <w:b w:val="0"/>
        <w:bCs w:val="0"/>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A37A67"/>
    <w:multiLevelType w:val="hybridMultilevel"/>
    <w:tmpl w:val="A1F846B6"/>
    <w:lvl w:ilvl="0" w:tplc="B8AE915A">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CF5403"/>
    <w:multiLevelType w:val="hybridMultilevel"/>
    <w:tmpl w:val="2996E88A"/>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85153"/>
    <w:multiLevelType w:val="hybridMultilevel"/>
    <w:tmpl w:val="2E9ED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90A97"/>
    <w:multiLevelType w:val="hybridMultilevel"/>
    <w:tmpl w:val="135E7854"/>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E059A6"/>
    <w:multiLevelType w:val="hybridMultilevel"/>
    <w:tmpl w:val="ABB031C2"/>
    <w:lvl w:ilvl="0" w:tplc="C74E92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287BA2"/>
    <w:multiLevelType w:val="hybridMultilevel"/>
    <w:tmpl w:val="F3EE7546"/>
    <w:lvl w:ilvl="0" w:tplc="811A485E">
      <w:start w:val="1"/>
      <w:numFmt w:val="upperRoman"/>
      <w:lvlText w:val="%1."/>
      <w:lvlJc w:val="left"/>
      <w:pPr>
        <w:ind w:left="720" w:hanging="720"/>
      </w:pPr>
      <w:rPr>
        <w:rFonts w:hint="default"/>
        <w:b/>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9101F29"/>
    <w:multiLevelType w:val="multilevel"/>
    <w:tmpl w:val="76E485A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9726A9"/>
    <w:multiLevelType w:val="hybridMultilevel"/>
    <w:tmpl w:val="CA444C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1A0922"/>
    <w:multiLevelType w:val="hybridMultilevel"/>
    <w:tmpl w:val="18B2A95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771D7"/>
    <w:multiLevelType w:val="hybridMultilevel"/>
    <w:tmpl w:val="54E06984"/>
    <w:lvl w:ilvl="0" w:tplc="636A6CA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6D1FA9"/>
    <w:multiLevelType w:val="hybridMultilevel"/>
    <w:tmpl w:val="DDA244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AF108B"/>
    <w:multiLevelType w:val="hybridMultilevel"/>
    <w:tmpl w:val="EF0643F8"/>
    <w:lvl w:ilvl="0" w:tplc="DF846422">
      <w:start w:val="1"/>
      <w:numFmt w:val="lowerRoman"/>
      <w:lvlText w:val="%1."/>
      <w:lvlJc w:val="righ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7967AE"/>
    <w:multiLevelType w:val="hybridMultilevel"/>
    <w:tmpl w:val="CC04482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EC01AA"/>
    <w:multiLevelType w:val="multilevel"/>
    <w:tmpl w:val="0EF66E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FE7BB0"/>
    <w:multiLevelType w:val="hybridMultilevel"/>
    <w:tmpl w:val="ADFE5518"/>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C85E89"/>
    <w:multiLevelType w:val="multilevel"/>
    <w:tmpl w:val="D6760EB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24E1946"/>
    <w:multiLevelType w:val="hybridMultilevel"/>
    <w:tmpl w:val="A386F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EF4260"/>
    <w:multiLevelType w:val="hybridMultilevel"/>
    <w:tmpl w:val="2B2A6C4C"/>
    <w:lvl w:ilvl="0" w:tplc="F04EA80E">
      <w:start w:val="1"/>
      <w:numFmt w:val="upperRoman"/>
      <w:lvlText w:val="%1."/>
      <w:lvlJc w:val="left"/>
      <w:pPr>
        <w:ind w:left="1080" w:hanging="720"/>
      </w:pPr>
      <w:rPr>
        <w:rFonts w:hint="default"/>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7713A7"/>
    <w:multiLevelType w:val="hybridMultilevel"/>
    <w:tmpl w:val="F802EF2A"/>
    <w:lvl w:ilvl="0" w:tplc="080A000F">
      <w:start w:val="1"/>
      <w:numFmt w:val="decimal"/>
      <w:lvlText w:val="%1."/>
      <w:lvlJc w:val="left"/>
      <w:pPr>
        <w:ind w:left="720" w:hanging="720"/>
      </w:pPr>
      <w:rPr>
        <w:rFonts w:hint="default"/>
        <w:b/>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AA921DC"/>
    <w:multiLevelType w:val="hybridMultilevel"/>
    <w:tmpl w:val="6A9C51D6"/>
    <w:lvl w:ilvl="0" w:tplc="DB6C68F2">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BFF6D45"/>
    <w:multiLevelType w:val="hybridMultilevel"/>
    <w:tmpl w:val="2AB010C2"/>
    <w:lvl w:ilvl="0" w:tplc="15F22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F05A69"/>
    <w:multiLevelType w:val="hybridMultilevel"/>
    <w:tmpl w:val="C144FDA4"/>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7712A9"/>
    <w:multiLevelType w:val="hybridMultilevel"/>
    <w:tmpl w:val="D15AE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8A1980"/>
    <w:multiLevelType w:val="hybridMultilevel"/>
    <w:tmpl w:val="0944F87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3C51ED3"/>
    <w:multiLevelType w:val="hybridMultilevel"/>
    <w:tmpl w:val="6A5CC150"/>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CF5B16"/>
    <w:multiLevelType w:val="hybridMultilevel"/>
    <w:tmpl w:val="77243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541E66"/>
    <w:multiLevelType w:val="hybridMultilevel"/>
    <w:tmpl w:val="9782FC94"/>
    <w:lvl w:ilvl="0" w:tplc="50B8F284">
      <w:start w:val="1"/>
      <w:numFmt w:val="lowerRoman"/>
      <w:lvlText w:val="%1."/>
      <w:lvlJc w:val="right"/>
      <w:pPr>
        <w:ind w:left="789" w:hanging="360"/>
      </w:pPr>
      <w:rPr>
        <w:i/>
        <w:iCs/>
      </w:rPr>
    </w:lvl>
    <w:lvl w:ilvl="1" w:tplc="080A0019" w:tentative="1">
      <w:start w:val="1"/>
      <w:numFmt w:val="lowerLetter"/>
      <w:lvlText w:val="%2."/>
      <w:lvlJc w:val="left"/>
      <w:pPr>
        <w:ind w:left="1509" w:hanging="360"/>
      </w:pPr>
    </w:lvl>
    <w:lvl w:ilvl="2" w:tplc="080A001B" w:tentative="1">
      <w:start w:val="1"/>
      <w:numFmt w:val="lowerRoman"/>
      <w:lvlText w:val="%3."/>
      <w:lvlJc w:val="right"/>
      <w:pPr>
        <w:ind w:left="2229" w:hanging="180"/>
      </w:pPr>
    </w:lvl>
    <w:lvl w:ilvl="3" w:tplc="080A000F" w:tentative="1">
      <w:start w:val="1"/>
      <w:numFmt w:val="decimal"/>
      <w:lvlText w:val="%4."/>
      <w:lvlJc w:val="left"/>
      <w:pPr>
        <w:ind w:left="2949" w:hanging="360"/>
      </w:pPr>
    </w:lvl>
    <w:lvl w:ilvl="4" w:tplc="080A0019" w:tentative="1">
      <w:start w:val="1"/>
      <w:numFmt w:val="lowerLetter"/>
      <w:lvlText w:val="%5."/>
      <w:lvlJc w:val="left"/>
      <w:pPr>
        <w:ind w:left="3669" w:hanging="360"/>
      </w:pPr>
    </w:lvl>
    <w:lvl w:ilvl="5" w:tplc="080A001B" w:tentative="1">
      <w:start w:val="1"/>
      <w:numFmt w:val="lowerRoman"/>
      <w:lvlText w:val="%6."/>
      <w:lvlJc w:val="right"/>
      <w:pPr>
        <w:ind w:left="4389" w:hanging="180"/>
      </w:pPr>
    </w:lvl>
    <w:lvl w:ilvl="6" w:tplc="080A000F" w:tentative="1">
      <w:start w:val="1"/>
      <w:numFmt w:val="decimal"/>
      <w:lvlText w:val="%7."/>
      <w:lvlJc w:val="left"/>
      <w:pPr>
        <w:ind w:left="5109" w:hanging="360"/>
      </w:pPr>
    </w:lvl>
    <w:lvl w:ilvl="7" w:tplc="080A0019" w:tentative="1">
      <w:start w:val="1"/>
      <w:numFmt w:val="lowerLetter"/>
      <w:lvlText w:val="%8."/>
      <w:lvlJc w:val="left"/>
      <w:pPr>
        <w:ind w:left="5829" w:hanging="360"/>
      </w:pPr>
    </w:lvl>
    <w:lvl w:ilvl="8" w:tplc="080A001B" w:tentative="1">
      <w:start w:val="1"/>
      <w:numFmt w:val="lowerRoman"/>
      <w:lvlText w:val="%9."/>
      <w:lvlJc w:val="right"/>
      <w:pPr>
        <w:ind w:left="6549" w:hanging="180"/>
      </w:pPr>
    </w:lvl>
  </w:abstractNum>
  <w:abstractNum w:abstractNumId="28" w15:restartNumberingAfterBreak="0">
    <w:nsid w:val="62E415CD"/>
    <w:multiLevelType w:val="hybridMultilevel"/>
    <w:tmpl w:val="0C6618C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192F7A"/>
    <w:multiLevelType w:val="hybridMultilevel"/>
    <w:tmpl w:val="3118EB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5344687"/>
    <w:multiLevelType w:val="hybridMultilevel"/>
    <w:tmpl w:val="DF78C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3A5EC1"/>
    <w:multiLevelType w:val="hybridMultilevel"/>
    <w:tmpl w:val="C3203BD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3"/>
  </w:num>
  <w:num w:numId="4">
    <w:abstractNumId w:val="10"/>
  </w:num>
  <w:num w:numId="5">
    <w:abstractNumId w:val="7"/>
  </w:num>
  <w:num w:numId="6">
    <w:abstractNumId w:val="5"/>
  </w:num>
  <w:num w:numId="7">
    <w:abstractNumId w:val="1"/>
  </w:num>
  <w:num w:numId="8">
    <w:abstractNumId w:val="16"/>
  </w:num>
  <w:num w:numId="9">
    <w:abstractNumId w:val="0"/>
  </w:num>
  <w:num w:numId="10">
    <w:abstractNumId w:val="12"/>
  </w:num>
  <w:num w:numId="11">
    <w:abstractNumId w:val="27"/>
  </w:num>
  <w:num w:numId="12">
    <w:abstractNumId w:val="17"/>
  </w:num>
  <w:num w:numId="13">
    <w:abstractNumId w:val="30"/>
  </w:num>
  <w:num w:numId="14">
    <w:abstractNumId w:val="20"/>
  </w:num>
  <w:num w:numId="15">
    <w:abstractNumId w:val="6"/>
  </w:num>
  <w:num w:numId="16">
    <w:abstractNumId w:val="19"/>
  </w:num>
  <w:num w:numId="17">
    <w:abstractNumId w:val="11"/>
  </w:num>
  <w:num w:numId="18">
    <w:abstractNumId w:val="18"/>
  </w:num>
  <w:num w:numId="19">
    <w:abstractNumId w:val="29"/>
  </w:num>
  <w:num w:numId="20">
    <w:abstractNumId w:val="24"/>
  </w:num>
  <w:num w:numId="21">
    <w:abstractNumId w:val="4"/>
  </w:num>
  <w:num w:numId="22">
    <w:abstractNumId w:val="2"/>
  </w:num>
  <w:num w:numId="23">
    <w:abstractNumId w:val="22"/>
  </w:num>
  <w:num w:numId="24">
    <w:abstractNumId w:val="8"/>
  </w:num>
  <w:num w:numId="25">
    <w:abstractNumId w:val="13"/>
  </w:num>
  <w:num w:numId="26">
    <w:abstractNumId w:val="28"/>
  </w:num>
  <w:num w:numId="27">
    <w:abstractNumId w:val="15"/>
  </w:num>
  <w:num w:numId="28">
    <w:abstractNumId w:val="23"/>
  </w:num>
  <w:num w:numId="29">
    <w:abstractNumId w:val="9"/>
  </w:num>
  <w:num w:numId="30">
    <w:abstractNumId w:val="25"/>
  </w:num>
  <w:num w:numId="31">
    <w:abstractNumId w:val="3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9D"/>
    <w:rsid w:val="00011407"/>
    <w:rsid w:val="00012B98"/>
    <w:rsid w:val="000143DC"/>
    <w:rsid w:val="000164C8"/>
    <w:rsid w:val="00027FA6"/>
    <w:rsid w:val="000376B5"/>
    <w:rsid w:val="00040ABE"/>
    <w:rsid w:val="00044BE5"/>
    <w:rsid w:val="00047CD9"/>
    <w:rsid w:val="00054D63"/>
    <w:rsid w:val="0006134E"/>
    <w:rsid w:val="00066609"/>
    <w:rsid w:val="000800F8"/>
    <w:rsid w:val="0008286C"/>
    <w:rsid w:val="00095EAC"/>
    <w:rsid w:val="00096F89"/>
    <w:rsid w:val="000B5097"/>
    <w:rsid w:val="000C071E"/>
    <w:rsid w:val="000C39D2"/>
    <w:rsid w:val="000D2229"/>
    <w:rsid w:val="001011B1"/>
    <w:rsid w:val="001016E1"/>
    <w:rsid w:val="00102E7B"/>
    <w:rsid w:val="00117E73"/>
    <w:rsid w:val="00125B30"/>
    <w:rsid w:val="001351CB"/>
    <w:rsid w:val="001421D2"/>
    <w:rsid w:val="0014772D"/>
    <w:rsid w:val="00151BCD"/>
    <w:rsid w:val="00161499"/>
    <w:rsid w:val="00165C60"/>
    <w:rsid w:val="0017171F"/>
    <w:rsid w:val="00172EDE"/>
    <w:rsid w:val="00174B50"/>
    <w:rsid w:val="0017618A"/>
    <w:rsid w:val="0018649D"/>
    <w:rsid w:val="0019255C"/>
    <w:rsid w:val="001977FE"/>
    <w:rsid w:val="001A2852"/>
    <w:rsid w:val="001B2E96"/>
    <w:rsid w:val="001B7897"/>
    <w:rsid w:val="001C0447"/>
    <w:rsid w:val="001C33DE"/>
    <w:rsid w:val="001C6162"/>
    <w:rsid w:val="001D2335"/>
    <w:rsid w:val="001E4152"/>
    <w:rsid w:val="001E4179"/>
    <w:rsid w:val="001E6781"/>
    <w:rsid w:val="001F17C5"/>
    <w:rsid w:val="001F4AA3"/>
    <w:rsid w:val="001F4FE4"/>
    <w:rsid w:val="001F5124"/>
    <w:rsid w:val="00201675"/>
    <w:rsid w:val="00207920"/>
    <w:rsid w:val="00207A93"/>
    <w:rsid w:val="00214F7A"/>
    <w:rsid w:val="00216B40"/>
    <w:rsid w:val="002261B1"/>
    <w:rsid w:val="00230705"/>
    <w:rsid w:val="00233534"/>
    <w:rsid w:val="00247CC4"/>
    <w:rsid w:val="00250608"/>
    <w:rsid w:val="0025539C"/>
    <w:rsid w:val="00257B1C"/>
    <w:rsid w:val="00260F53"/>
    <w:rsid w:val="002616F0"/>
    <w:rsid w:val="00264672"/>
    <w:rsid w:val="00271087"/>
    <w:rsid w:val="00272771"/>
    <w:rsid w:val="00272E8D"/>
    <w:rsid w:val="0027373E"/>
    <w:rsid w:val="00275BDE"/>
    <w:rsid w:val="00276089"/>
    <w:rsid w:val="002926FB"/>
    <w:rsid w:val="002A2EEF"/>
    <w:rsid w:val="002A4B48"/>
    <w:rsid w:val="002B0B1C"/>
    <w:rsid w:val="002C3354"/>
    <w:rsid w:val="002D0050"/>
    <w:rsid w:val="002E2443"/>
    <w:rsid w:val="002E3055"/>
    <w:rsid w:val="002E3624"/>
    <w:rsid w:val="002F2EED"/>
    <w:rsid w:val="002F3C23"/>
    <w:rsid w:val="00313BB6"/>
    <w:rsid w:val="00313C84"/>
    <w:rsid w:val="0031749E"/>
    <w:rsid w:val="00324C53"/>
    <w:rsid w:val="00327FD1"/>
    <w:rsid w:val="00335409"/>
    <w:rsid w:val="0033783A"/>
    <w:rsid w:val="00341B00"/>
    <w:rsid w:val="00341BA3"/>
    <w:rsid w:val="00342E23"/>
    <w:rsid w:val="00346CE6"/>
    <w:rsid w:val="0035086A"/>
    <w:rsid w:val="00352856"/>
    <w:rsid w:val="00356451"/>
    <w:rsid w:val="00363658"/>
    <w:rsid w:val="00371850"/>
    <w:rsid w:val="00375148"/>
    <w:rsid w:val="00382C57"/>
    <w:rsid w:val="00383605"/>
    <w:rsid w:val="003962AE"/>
    <w:rsid w:val="003A456B"/>
    <w:rsid w:val="003B10B2"/>
    <w:rsid w:val="003B3901"/>
    <w:rsid w:val="003B3C97"/>
    <w:rsid w:val="003B6D68"/>
    <w:rsid w:val="003C34FB"/>
    <w:rsid w:val="003D0428"/>
    <w:rsid w:val="003D0C66"/>
    <w:rsid w:val="003D61AA"/>
    <w:rsid w:val="003D69A3"/>
    <w:rsid w:val="003D77D3"/>
    <w:rsid w:val="003F0D90"/>
    <w:rsid w:val="0040048E"/>
    <w:rsid w:val="004010F8"/>
    <w:rsid w:val="004059CC"/>
    <w:rsid w:val="004149DC"/>
    <w:rsid w:val="00422562"/>
    <w:rsid w:val="00426623"/>
    <w:rsid w:val="00427EEC"/>
    <w:rsid w:val="0043096D"/>
    <w:rsid w:val="004342B5"/>
    <w:rsid w:val="00434F58"/>
    <w:rsid w:val="004406FF"/>
    <w:rsid w:val="004523D6"/>
    <w:rsid w:val="00473460"/>
    <w:rsid w:val="00475A4C"/>
    <w:rsid w:val="004850BD"/>
    <w:rsid w:val="00486FA6"/>
    <w:rsid w:val="00486FE0"/>
    <w:rsid w:val="00491CD6"/>
    <w:rsid w:val="00493E6A"/>
    <w:rsid w:val="004A169A"/>
    <w:rsid w:val="004B0362"/>
    <w:rsid w:val="004B1202"/>
    <w:rsid w:val="004B356E"/>
    <w:rsid w:val="004B36DC"/>
    <w:rsid w:val="004B485B"/>
    <w:rsid w:val="004B5376"/>
    <w:rsid w:val="004D10E1"/>
    <w:rsid w:val="004E574B"/>
    <w:rsid w:val="004F4289"/>
    <w:rsid w:val="00500D98"/>
    <w:rsid w:val="00502484"/>
    <w:rsid w:val="00503A11"/>
    <w:rsid w:val="00512FE1"/>
    <w:rsid w:val="0051452F"/>
    <w:rsid w:val="00516EA0"/>
    <w:rsid w:val="00524B7A"/>
    <w:rsid w:val="00527B8C"/>
    <w:rsid w:val="00533AF8"/>
    <w:rsid w:val="005352D3"/>
    <w:rsid w:val="00541333"/>
    <w:rsid w:val="00542C96"/>
    <w:rsid w:val="00543C8E"/>
    <w:rsid w:val="00547246"/>
    <w:rsid w:val="00556208"/>
    <w:rsid w:val="00557518"/>
    <w:rsid w:val="0056032E"/>
    <w:rsid w:val="005661B7"/>
    <w:rsid w:val="0057120C"/>
    <w:rsid w:val="00590D8F"/>
    <w:rsid w:val="00591255"/>
    <w:rsid w:val="005A4A5E"/>
    <w:rsid w:val="005A4C9E"/>
    <w:rsid w:val="005A65CD"/>
    <w:rsid w:val="005C418A"/>
    <w:rsid w:val="005D1F8A"/>
    <w:rsid w:val="005D1FDB"/>
    <w:rsid w:val="005D3C31"/>
    <w:rsid w:val="005D4B1E"/>
    <w:rsid w:val="005D6F14"/>
    <w:rsid w:val="005E0FF6"/>
    <w:rsid w:val="005E49ED"/>
    <w:rsid w:val="005F574E"/>
    <w:rsid w:val="005F5FD3"/>
    <w:rsid w:val="006114BC"/>
    <w:rsid w:val="006334AE"/>
    <w:rsid w:val="00650BDA"/>
    <w:rsid w:val="006531E5"/>
    <w:rsid w:val="00653BBD"/>
    <w:rsid w:val="006569DC"/>
    <w:rsid w:val="00667675"/>
    <w:rsid w:val="00675FAF"/>
    <w:rsid w:val="00683480"/>
    <w:rsid w:val="0068423D"/>
    <w:rsid w:val="00686C1F"/>
    <w:rsid w:val="00694169"/>
    <w:rsid w:val="006944F2"/>
    <w:rsid w:val="006A41DE"/>
    <w:rsid w:val="006A4497"/>
    <w:rsid w:val="006A7B08"/>
    <w:rsid w:val="006B17F1"/>
    <w:rsid w:val="006B280E"/>
    <w:rsid w:val="006F732B"/>
    <w:rsid w:val="0070149C"/>
    <w:rsid w:val="00701D2A"/>
    <w:rsid w:val="007120C8"/>
    <w:rsid w:val="00712233"/>
    <w:rsid w:val="00723000"/>
    <w:rsid w:val="0072341A"/>
    <w:rsid w:val="00730C43"/>
    <w:rsid w:val="00732DEF"/>
    <w:rsid w:val="0073306B"/>
    <w:rsid w:val="007530FC"/>
    <w:rsid w:val="00753FCD"/>
    <w:rsid w:val="00757010"/>
    <w:rsid w:val="00757D82"/>
    <w:rsid w:val="00762390"/>
    <w:rsid w:val="00767E64"/>
    <w:rsid w:val="00795B97"/>
    <w:rsid w:val="007A6DB2"/>
    <w:rsid w:val="007C1ACC"/>
    <w:rsid w:val="007D5CCB"/>
    <w:rsid w:val="007F0777"/>
    <w:rsid w:val="007F6E01"/>
    <w:rsid w:val="0080198E"/>
    <w:rsid w:val="0081649C"/>
    <w:rsid w:val="00820D26"/>
    <w:rsid w:val="0083437A"/>
    <w:rsid w:val="008375B2"/>
    <w:rsid w:val="00841118"/>
    <w:rsid w:val="00844F63"/>
    <w:rsid w:val="00846F2E"/>
    <w:rsid w:val="008522F9"/>
    <w:rsid w:val="00857FD1"/>
    <w:rsid w:val="008630A4"/>
    <w:rsid w:val="008631F3"/>
    <w:rsid w:val="00875705"/>
    <w:rsid w:val="008866D3"/>
    <w:rsid w:val="00890D6D"/>
    <w:rsid w:val="00895B69"/>
    <w:rsid w:val="008A0506"/>
    <w:rsid w:val="008B2FDB"/>
    <w:rsid w:val="008B4B37"/>
    <w:rsid w:val="008B625C"/>
    <w:rsid w:val="008C76EC"/>
    <w:rsid w:val="008E297A"/>
    <w:rsid w:val="008E6591"/>
    <w:rsid w:val="008E6BFF"/>
    <w:rsid w:val="00914439"/>
    <w:rsid w:val="0092347B"/>
    <w:rsid w:val="00925C14"/>
    <w:rsid w:val="00937D12"/>
    <w:rsid w:val="009451DB"/>
    <w:rsid w:val="009457F1"/>
    <w:rsid w:val="009534D1"/>
    <w:rsid w:val="00957D5B"/>
    <w:rsid w:val="009723DD"/>
    <w:rsid w:val="00981FDC"/>
    <w:rsid w:val="009828DE"/>
    <w:rsid w:val="00985048"/>
    <w:rsid w:val="009864C2"/>
    <w:rsid w:val="00990AF1"/>
    <w:rsid w:val="009A7915"/>
    <w:rsid w:val="009B0289"/>
    <w:rsid w:val="009B6C90"/>
    <w:rsid w:val="009C781E"/>
    <w:rsid w:val="009D0FAE"/>
    <w:rsid w:val="009D3F11"/>
    <w:rsid w:val="009D7F8C"/>
    <w:rsid w:val="009F0005"/>
    <w:rsid w:val="009F3A50"/>
    <w:rsid w:val="009F3C13"/>
    <w:rsid w:val="00A02E25"/>
    <w:rsid w:val="00A03809"/>
    <w:rsid w:val="00A06C6F"/>
    <w:rsid w:val="00A11992"/>
    <w:rsid w:val="00A2339D"/>
    <w:rsid w:val="00A2740C"/>
    <w:rsid w:val="00A3224F"/>
    <w:rsid w:val="00A324FF"/>
    <w:rsid w:val="00A42C62"/>
    <w:rsid w:val="00A5195F"/>
    <w:rsid w:val="00A57DA1"/>
    <w:rsid w:val="00A612E0"/>
    <w:rsid w:val="00A768B1"/>
    <w:rsid w:val="00A76DFE"/>
    <w:rsid w:val="00A80825"/>
    <w:rsid w:val="00A80D71"/>
    <w:rsid w:val="00A84AC8"/>
    <w:rsid w:val="00AB05EC"/>
    <w:rsid w:val="00AB3D50"/>
    <w:rsid w:val="00AC3197"/>
    <w:rsid w:val="00AC4BE2"/>
    <w:rsid w:val="00AD0700"/>
    <w:rsid w:val="00AD369B"/>
    <w:rsid w:val="00AE11FE"/>
    <w:rsid w:val="00AF4725"/>
    <w:rsid w:val="00AF4891"/>
    <w:rsid w:val="00AF741F"/>
    <w:rsid w:val="00B05A18"/>
    <w:rsid w:val="00B11AFF"/>
    <w:rsid w:val="00B11B6A"/>
    <w:rsid w:val="00B13315"/>
    <w:rsid w:val="00B23FF7"/>
    <w:rsid w:val="00B4455F"/>
    <w:rsid w:val="00B56E03"/>
    <w:rsid w:val="00B60354"/>
    <w:rsid w:val="00B622C0"/>
    <w:rsid w:val="00B64042"/>
    <w:rsid w:val="00B73BBC"/>
    <w:rsid w:val="00B87352"/>
    <w:rsid w:val="00B907C5"/>
    <w:rsid w:val="00B949D8"/>
    <w:rsid w:val="00BA056C"/>
    <w:rsid w:val="00BA4D00"/>
    <w:rsid w:val="00BA5508"/>
    <w:rsid w:val="00BB5E44"/>
    <w:rsid w:val="00BC68BE"/>
    <w:rsid w:val="00BD2959"/>
    <w:rsid w:val="00BD5367"/>
    <w:rsid w:val="00BE29AA"/>
    <w:rsid w:val="00BE2DB7"/>
    <w:rsid w:val="00BE6927"/>
    <w:rsid w:val="00BF0053"/>
    <w:rsid w:val="00BF6E16"/>
    <w:rsid w:val="00BF7BFF"/>
    <w:rsid w:val="00C0401D"/>
    <w:rsid w:val="00C05129"/>
    <w:rsid w:val="00C122F1"/>
    <w:rsid w:val="00C211B6"/>
    <w:rsid w:val="00C24A65"/>
    <w:rsid w:val="00C314F0"/>
    <w:rsid w:val="00C34695"/>
    <w:rsid w:val="00C43272"/>
    <w:rsid w:val="00C451F6"/>
    <w:rsid w:val="00C47258"/>
    <w:rsid w:val="00C47799"/>
    <w:rsid w:val="00C5547F"/>
    <w:rsid w:val="00C62883"/>
    <w:rsid w:val="00C66408"/>
    <w:rsid w:val="00C7272C"/>
    <w:rsid w:val="00C8284E"/>
    <w:rsid w:val="00C8434A"/>
    <w:rsid w:val="00C86238"/>
    <w:rsid w:val="00C914C7"/>
    <w:rsid w:val="00CA3110"/>
    <w:rsid w:val="00CC65E7"/>
    <w:rsid w:val="00CD2CCC"/>
    <w:rsid w:val="00CF0F58"/>
    <w:rsid w:val="00CF16BD"/>
    <w:rsid w:val="00CF4DC1"/>
    <w:rsid w:val="00D017BB"/>
    <w:rsid w:val="00D03EBC"/>
    <w:rsid w:val="00D040E4"/>
    <w:rsid w:val="00D06A9F"/>
    <w:rsid w:val="00D07566"/>
    <w:rsid w:val="00D21369"/>
    <w:rsid w:val="00D35FEA"/>
    <w:rsid w:val="00D416F7"/>
    <w:rsid w:val="00D51A72"/>
    <w:rsid w:val="00D61816"/>
    <w:rsid w:val="00D73E6C"/>
    <w:rsid w:val="00D8174C"/>
    <w:rsid w:val="00D83BB4"/>
    <w:rsid w:val="00D907C4"/>
    <w:rsid w:val="00D92233"/>
    <w:rsid w:val="00D9251F"/>
    <w:rsid w:val="00D943B6"/>
    <w:rsid w:val="00DA79F6"/>
    <w:rsid w:val="00DB7C80"/>
    <w:rsid w:val="00DC30F6"/>
    <w:rsid w:val="00DC3444"/>
    <w:rsid w:val="00DC6F19"/>
    <w:rsid w:val="00DE4E13"/>
    <w:rsid w:val="00DF4857"/>
    <w:rsid w:val="00DF5936"/>
    <w:rsid w:val="00E0741B"/>
    <w:rsid w:val="00E33AD1"/>
    <w:rsid w:val="00E47C1F"/>
    <w:rsid w:val="00E51EA6"/>
    <w:rsid w:val="00E52D13"/>
    <w:rsid w:val="00E54745"/>
    <w:rsid w:val="00E65384"/>
    <w:rsid w:val="00E7420C"/>
    <w:rsid w:val="00E750D0"/>
    <w:rsid w:val="00E8333D"/>
    <w:rsid w:val="00E83713"/>
    <w:rsid w:val="00E9141C"/>
    <w:rsid w:val="00E96C61"/>
    <w:rsid w:val="00E97908"/>
    <w:rsid w:val="00EA0590"/>
    <w:rsid w:val="00EB513C"/>
    <w:rsid w:val="00EC1E18"/>
    <w:rsid w:val="00EC3040"/>
    <w:rsid w:val="00EC53AC"/>
    <w:rsid w:val="00ED41AE"/>
    <w:rsid w:val="00ED64DC"/>
    <w:rsid w:val="00EE329E"/>
    <w:rsid w:val="00EF43CA"/>
    <w:rsid w:val="00F0018F"/>
    <w:rsid w:val="00F12E0F"/>
    <w:rsid w:val="00F138FD"/>
    <w:rsid w:val="00F21D29"/>
    <w:rsid w:val="00F27D56"/>
    <w:rsid w:val="00F33774"/>
    <w:rsid w:val="00F3601F"/>
    <w:rsid w:val="00F369DA"/>
    <w:rsid w:val="00F434D2"/>
    <w:rsid w:val="00F706DF"/>
    <w:rsid w:val="00F730E2"/>
    <w:rsid w:val="00F8012F"/>
    <w:rsid w:val="00F82E72"/>
    <w:rsid w:val="00F87B13"/>
    <w:rsid w:val="00FA120C"/>
    <w:rsid w:val="00FA5E61"/>
    <w:rsid w:val="00FA6F66"/>
    <w:rsid w:val="00FB79C9"/>
    <w:rsid w:val="00FC2E2D"/>
    <w:rsid w:val="00FC3CCC"/>
    <w:rsid w:val="00FD4942"/>
    <w:rsid w:val="00FE63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E81C1"/>
  <w15:chartTrackingRefBased/>
  <w15:docId w15:val="{417518A7-AB00-4CD6-B805-3A5FBBCD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9D"/>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qFormat/>
    <w:rsid w:val="00054D63"/>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054D6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6334A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649D"/>
    <w:pPr>
      <w:tabs>
        <w:tab w:val="center" w:pos="4419"/>
        <w:tab w:val="right" w:pos="8838"/>
      </w:tabs>
    </w:pPr>
  </w:style>
  <w:style w:type="character" w:customStyle="1" w:styleId="EncabezadoCar">
    <w:name w:val="Encabezado Car"/>
    <w:basedOn w:val="Fuentedeprrafopredeter"/>
    <w:link w:val="Encabezado"/>
    <w:uiPriority w:val="99"/>
    <w:rsid w:val="0018649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18649D"/>
    <w:pPr>
      <w:tabs>
        <w:tab w:val="center" w:pos="4419"/>
        <w:tab w:val="right" w:pos="8838"/>
      </w:tabs>
    </w:pPr>
  </w:style>
  <w:style w:type="character" w:customStyle="1" w:styleId="PiedepginaCar">
    <w:name w:val="Pie de página Car"/>
    <w:basedOn w:val="Fuentedeprrafopredeter"/>
    <w:link w:val="Piedepgina"/>
    <w:uiPriority w:val="99"/>
    <w:rsid w:val="0018649D"/>
    <w:rPr>
      <w:rFonts w:ascii="Times New Roman" w:eastAsia="Times New Roman" w:hAnsi="Times New Roman" w:cs="Times New Roman"/>
      <w:sz w:val="20"/>
      <w:szCs w:val="20"/>
    </w:rPr>
  </w:style>
  <w:style w:type="paragraph" w:styleId="Prrafodelista">
    <w:name w:val="List Paragraph"/>
    <w:aliases w:val="CNBV Parrafo1,Párrafo de lista1,Cita texto,Parrafo 1,Lista multicolor - Énfasis 11,Lista vistosa - Énfasis 11,Cuadrícula media 1 - Énfasis 21,List Paragraph-Thesis,Footnote"/>
    <w:basedOn w:val="Normal"/>
    <w:link w:val="PrrafodelistaCar"/>
    <w:uiPriority w:val="34"/>
    <w:qFormat/>
    <w:rsid w:val="0018649D"/>
    <w:pPr>
      <w:ind w:left="720"/>
      <w:contextualSpacing/>
    </w:pPr>
  </w:style>
  <w:style w:type="character" w:styleId="Hipervnculo">
    <w:name w:val="Hyperlink"/>
    <w:basedOn w:val="Fuentedeprrafopredeter"/>
    <w:uiPriority w:val="99"/>
    <w:unhideWhenUsed/>
    <w:rsid w:val="0018649D"/>
    <w:rPr>
      <w:color w:val="0563C1" w:themeColor="hyperlink"/>
      <w:u w:val="single"/>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8649D"/>
    <w:rPr>
      <w:rFonts w:asciiTheme="minorHAnsi" w:eastAsiaTheme="minorEastAsia" w:hAnsiTheme="minorHAnsi" w:cstheme="minorBidi"/>
      <w:lang w:eastAsia="es-MX"/>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8649D"/>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18649D"/>
    <w:rPr>
      <w:vertAlign w:val="superscript"/>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18649D"/>
    <w:pPr>
      <w:spacing w:before="100" w:beforeAutospacing="1" w:after="100" w:afterAutospacing="1"/>
    </w:pPr>
    <w:rPr>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649D"/>
    <w:pPr>
      <w:jc w:val="both"/>
    </w:pPr>
    <w:rPr>
      <w:rFonts w:asciiTheme="minorHAnsi" w:eastAsiaTheme="minorHAnsi" w:hAnsiTheme="minorHAnsi" w:cstheme="minorBidi"/>
      <w:sz w:val="22"/>
      <w:szCs w:val="22"/>
      <w:vertAlign w:val="superscript"/>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18649D"/>
    <w:rPr>
      <w:rFonts w:ascii="Times New Roman" w:eastAsia="Times New Roman" w:hAnsi="Times New Roman" w:cs="Times New Roman"/>
      <w:sz w:val="24"/>
      <w:szCs w:val="24"/>
      <w:lang w:eastAsia="es-MX"/>
    </w:rPr>
  </w:style>
  <w:style w:type="table" w:styleId="Tablaconcuadrcula">
    <w:name w:val="Table Grid"/>
    <w:basedOn w:val="Tablanormal"/>
    <w:rsid w:val="0018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
    <w:link w:val="Prrafodelista"/>
    <w:uiPriority w:val="34"/>
    <w:locked/>
    <w:rsid w:val="0018649D"/>
    <w:rPr>
      <w:rFonts w:ascii="Times New Roman" w:eastAsia="Times New Roman" w:hAnsi="Times New Roman" w:cs="Times New Roman"/>
      <w:sz w:val="20"/>
      <w:szCs w:val="20"/>
    </w:rPr>
  </w:style>
  <w:style w:type="paragraph" w:customStyle="1" w:styleId="temp">
    <w:name w:val="temp"/>
    <w:basedOn w:val="Normal"/>
    <w:rsid w:val="000800F8"/>
    <w:pPr>
      <w:spacing w:before="100" w:beforeAutospacing="1" w:after="100" w:afterAutospacing="1"/>
    </w:pPr>
    <w:rPr>
      <w:sz w:val="24"/>
      <w:szCs w:val="24"/>
      <w:lang w:eastAsia="es-MX"/>
    </w:rPr>
  </w:style>
  <w:style w:type="character" w:customStyle="1" w:styleId="bold">
    <w:name w:val="bold"/>
    <w:basedOn w:val="Fuentedeprrafopredeter"/>
    <w:rsid w:val="000800F8"/>
  </w:style>
  <w:style w:type="paragraph" w:customStyle="1" w:styleId="Estilo">
    <w:name w:val="Estilo"/>
    <w:basedOn w:val="Sinespaciado"/>
    <w:link w:val="EstiloCar"/>
    <w:qFormat/>
    <w:rsid w:val="00C43272"/>
    <w:pPr>
      <w:jc w:val="both"/>
    </w:pPr>
    <w:rPr>
      <w:rFonts w:ascii="Arial" w:eastAsiaTheme="minorEastAsia" w:hAnsi="Arial" w:cstheme="minorBidi"/>
      <w:sz w:val="24"/>
      <w:szCs w:val="22"/>
      <w:lang w:eastAsia="es-MX"/>
    </w:rPr>
  </w:style>
  <w:style w:type="character" w:customStyle="1" w:styleId="EstiloCar">
    <w:name w:val="Estilo Car"/>
    <w:basedOn w:val="Fuentedeprrafopredeter"/>
    <w:link w:val="Estilo"/>
    <w:rsid w:val="00C43272"/>
    <w:rPr>
      <w:rFonts w:ascii="Arial" w:eastAsiaTheme="minorEastAsia" w:hAnsi="Arial"/>
      <w:sz w:val="24"/>
      <w:lang w:eastAsia="es-MX"/>
    </w:rPr>
  </w:style>
  <w:style w:type="paragraph" w:styleId="Sinespaciado">
    <w:name w:val="No Spacing"/>
    <w:uiPriority w:val="1"/>
    <w:qFormat/>
    <w:rsid w:val="00C43272"/>
    <w:pPr>
      <w:spacing w:after="0" w:line="240" w:lineRule="auto"/>
    </w:pPr>
    <w:rPr>
      <w:rFonts w:ascii="Times New Roman" w:eastAsia="Times New Roman" w:hAnsi="Times New Roman" w:cs="Times New Roman"/>
      <w:sz w:val="20"/>
      <w:szCs w:val="20"/>
    </w:rPr>
  </w:style>
  <w:style w:type="character" w:customStyle="1" w:styleId="Ttulo1Car">
    <w:name w:val="Título 1 Car"/>
    <w:basedOn w:val="Fuentedeprrafopredeter"/>
    <w:link w:val="Ttulo1"/>
    <w:rsid w:val="00054D63"/>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054D63"/>
    <w:rPr>
      <w:rFonts w:asciiTheme="majorHAnsi" w:eastAsiaTheme="majorEastAsia" w:hAnsiTheme="majorHAnsi" w:cstheme="majorBidi"/>
      <w:b/>
      <w:bCs/>
      <w:color w:val="4472C4" w:themeColor="accent1"/>
      <w:sz w:val="26"/>
      <w:szCs w:val="26"/>
    </w:rPr>
  </w:style>
  <w:style w:type="paragraph" w:styleId="TtuloTDC">
    <w:name w:val="TOC Heading"/>
    <w:basedOn w:val="Ttulo1"/>
    <w:next w:val="Normal"/>
    <w:uiPriority w:val="39"/>
    <w:unhideWhenUsed/>
    <w:qFormat/>
    <w:rsid w:val="00054D63"/>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054D63"/>
    <w:pPr>
      <w:tabs>
        <w:tab w:val="left" w:pos="440"/>
        <w:tab w:val="right" w:leader="dot" w:pos="8546"/>
      </w:tabs>
      <w:spacing w:line="276" w:lineRule="auto"/>
    </w:pPr>
    <w:rPr>
      <w:rFonts w:ascii="Arial" w:hAnsi="Arial" w:cs="Arial"/>
      <w:b/>
      <w:bCs/>
      <w:noProof/>
      <w:sz w:val="18"/>
      <w:szCs w:val="18"/>
      <w:lang w:eastAsia="es-ES"/>
    </w:rPr>
  </w:style>
  <w:style w:type="paragraph" w:styleId="TDC2">
    <w:name w:val="toc 2"/>
    <w:basedOn w:val="Normal"/>
    <w:next w:val="Normal"/>
    <w:autoRedefine/>
    <w:uiPriority w:val="39"/>
    <w:unhideWhenUsed/>
    <w:rsid w:val="00054D63"/>
    <w:pPr>
      <w:tabs>
        <w:tab w:val="right" w:leader="dot" w:pos="8546"/>
      </w:tabs>
      <w:contextualSpacing/>
      <w:jc w:val="both"/>
    </w:pPr>
    <w:rPr>
      <w:rFonts w:ascii="Arial" w:eastAsia="Calibri" w:hAnsi="Arial" w:cs="Arial"/>
      <w:b/>
      <w:bCs/>
      <w:noProof/>
      <w:sz w:val="18"/>
      <w:szCs w:val="18"/>
      <w:u w:val="single"/>
      <w:lang w:val="es-ES_tradnl"/>
    </w:rPr>
  </w:style>
  <w:style w:type="character" w:styleId="Hipervnculovisitado">
    <w:name w:val="FollowedHyperlink"/>
    <w:basedOn w:val="Fuentedeprrafopredeter"/>
    <w:uiPriority w:val="99"/>
    <w:semiHidden/>
    <w:unhideWhenUsed/>
    <w:rsid w:val="006334AE"/>
    <w:rPr>
      <w:color w:val="954F72" w:themeColor="followedHyperlink"/>
      <w:u w:val="single"/>
    </w:rPr>
  </w:style>
  <w:style w:type="character" w:customStyle="1" w:styleId="Ttulo3Car">
    <w:name w:val="Título 3 Car"/>
    <w:basedOn w:val="Fuentedeprrafopredeter"/>
    <w:link w:val="Ttulo3"/>
    <w:uiPriority w:val="9"/>
    <w:rsid w:val="006334AE"/>
    <w:rPr>
      <w:rFonts w:asciiTheme="majorHAnsi" w:eastAsiaTheme="majorEastAsia" w:hAnsiTheme="majorHAnsi" w:cstheme="majorBidi"/>
      <w:color w:val="1F3763" w:themeColor="accent1" w:themeShade="7F"/>
      <w:sz w:val="24"/>
      <w:szCs w:val="24"/>
    </w:rPr>
  </w:style>
  <w:style w:type="character" w:customStyle="1" w:styleId="Mencinsinresolver1">
    <w:name w:val="Mención sin resolver1"/>
    <w:basedOn w:val="Fuentedeprrafopredeter"/>
    <w:uiPriority w:val="99"/>
    <w:semiHidden/>
    <w:unhideWhenUsed/>
    <w:rsid w:val="00427EEC"/>
    <w:rPr>
      <w:color w:val="605E5C"/>
      <w:shd w:val="clear" w:color="auto" w:fill="E1DFDD"/>
    </w:rPr>
  </w:style>
  <w:style w:type="character" w:styleId="nfasissutil">
    <w:name w:val="Subtle Emphasis"/>
    <w:basedOn w:val="Fuentedeprrafopredeter"/>
    <w:uiPriority w:val="19"/>
    <w:qFormat/>
    <w:rsid w:val="006B280E"/>
    <w:rPr>
      <w:i/>
      <w:iCs/>
      <w:color w:val="404040" w:themeColor="text1" w:themeTint="BF"/>
    </w:rPr>
  </w:style>
  <w:style w:type="character" w:customStyle="1" w:styleId="Mencinsinresolver2">
    <w:name w:val="Mención sin resolver2"/>
    <w:basedOn w:val="Fuentedeprrafopredeter"/>
    <w:uiPriority w:val="99"/>
    <w:semiHidden/>
    <w:unhideWhenUsed/>
    <w:rsid w:val="002A2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9410">
      <w:bodyDiv w:val="1"/>
      <w:marLeft w:val="0"/>
      <w:marRight w:val="0"/>
      <w:marTop w:val="0"/>
      <w:marBottom w:val="0"/>
      <w:divBdr>
        <w:top w:val="none" w:sz="0" w:space="0" w:color="auto"/>
        <w:left w:val="none" w:sz="0" w:space="0" w:color="auto"/>
        <w:bottom w:val="none" w:sz="0" w:space="0" w:color="auto"/>
        <w:right w:val="none" w:sz="0" w:space="0" w:color="auto"/>
      </w:divBdr>
    </w:div>
    <w:div w:id="771247455">
      <w:bodyDiv w:val="1"/>
      <w:marLeft w:val="0"/>
      <w:marRight w:val="0"/>
      <w:marTop w:val="0"/>
      <w:marBottom w:val="0"/>
      <w:divBdr>
        <w:top w:val="none" w:sz="0" w:space="0" w:color="auto"/>
        <w:left w:val="none" w:sz="0" w:space="0" w:color="auto"/>
        <w:bottom w:val="none" w:sz="0" w:space="0" w:color="auto"/>
        <w:right w:val="none" w:sz="0" w:space="0" w:color="auto"/>
      </w:divBdr>
    </w:div>
    <w:div w:id="1397245095">
      <w:bodyDiv w:val="1"/>
      <w:marLeft w:val="0"/>
      <w:marRight w:val="0"/>
      <w:marTop w:val="0"/>
      <w:marBottom w:val="0"/>
      <w:divBdr>
        <w:top w:val="none" w:sz="0" w:space="0" w:color="auto"/>
        <w:left w:val="none" w:sz="0" w:space="0" w:color="auto"/>
        <w:bottom w:val="none" w:sz="0" w:space="0" w:color="auto"/>
        <w:right w:val="none" w:sz="0" w:space="0" w:color="auto"/>
      </w:divBdr>
    </w:div>
    <w:div w:id="18527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jf2.scjn.gob.mx/detalle/tesis/2015678" TargetMode="External"/><Relationship Id="rId2" Type="http://schemas.openxmlformats.org/officeDocument/2006/relationships/hyperlink" Target="https://www.scjn.gob.mx/registro/sites/default/files/page/2020-02/protocolo_orientacion_sexual.pdf" TargetMode="External"/><Relationship Id="rId1" Type="http://schemas.openxmlformats.org/officeDocument/2006/relationships/hyperlink" Target="https://www.corteidh.or.cr/docs/opiniones/seriea_24_esp.pdf" TargetMode="External"/><Relationship Id="rId4" Type="http://schemas.openxmlformats.org/officeDocument/2006/relationships/hyperlink" Target="https://sjf2.scjn.gob.mx/detalle/tesis/17453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EDF91-9B92-4D4C-A3D9-44D932FD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5511</Words>
  <Characters>30315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3</dc:creator>
  <cp:keywords/>
  <dc:description/>
  <cp:lastModifiedBy>Secretario Gral</cp:lastModifiedBy>
  <cp:revision>2</cp:revision>
  <cp:lastPrinted>2021-03-12T04:04:00Z</cp:lastPrinted>
  <dcterms:created xsi:type="dcterms:W3CDTF">2021-03-12T04:49:00Z</dcterms:created>
  <dcterms:modified xsi:type="dcterms:W3CDTF">2021-03-12T04:49:00Z</dcterms:modified>
</cp:coreProperties>
</file>